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0194" w14:textId="3DD8EDED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CAE3852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7F6FCA8F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402E04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85CADAB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2021 рік</w:t>
            </w:r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F1BC6F7" w14:textId="1C1C0265" w:rsidR="003E1859" w:rsidRDefault="003E1859" w:rsidP="003E185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</w:t>
      </w:r>
      <w:r w:rsidR="00232E28">
        <w:rPr>
          <w:color w:val="000000"/>
          <w:sz w:val="28"/>
          <w:szCs w:val="28"/>
          <w:lang w:val="uk-UA"/>
        </w:rPr>
        <w:t xml:space="preserve"> 42</w:t>
      </w:r>
      <w:r w:rsidR="0083402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402E04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17ACE7AC" w14:textId="6E57C3F4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09492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09492E" w:rsidRPr="00102517">
        <w:rPr>
          <w:sz w:val="28"/>
          <w:szCs w:val="28"/>
          <w:lang w:val="uk-UA"/>
        </w:rPr>
        <w:t>24.12.2020 р.№3-4/2020</w:t>
      </w:r>
      <w:r w:rsidRPr="0093065A">
        <w:rPr>
          <w:sz w:val="28"/>
          <w:szCs w:val="28"/>
          <w:lang w:val="uk-UA"/>
        </w:rPr>
        <w:t xml:space="preserve"> перерахувати кошти </w:t>
      </w:r>
      <w:r w:rsidR="00402E04">
        <w:rPr>
          <w:sz w:val="28"/>
          <w:szCs w:val="28"/>
          <w:lang w:val="uk-UA"/>
        </w:rPr>
        <w:t>в розмірі 1</w:t>
      </w:r>
      <w:r w:rsidR="006332FD">
        <w:rPr>
          <w:sz w:val="28"/>
          <w:szCs w:val="28"/>
          <w:lang w:val="uk-UA"/>
        </w:rPr>
        <w:t>7 564</w:t>
      </w:r>
      <w:r w:rsidR="00402E04">
        <w:rPr>
          <w:sz w:val="28"/>
          <w:szCs w:val="28"/>
          <w:lang w:val="uk-UA"/>
        </w:rPr>
        <w:t xml:space="preserve">,00 грн. </w:t>
      </w:r>
      <w:r w:rsidRPr="0093065A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>
        <w:rPr>
          <w:sz w:val="28"/>
          <w:szCs w:val="28"/>
          <w:lang w:val="uk-UA"/>
        </w:rPr>
        <w:t xml:space="preserve"> </w:t>
      </w:r>
      <w:r w:rsidRPr="0093065A">
        <w:rPr>
          <w:sz w:val="28"/>
          <w:szCs w:val="28"/>
          <w:lang w:val="uk-UA"/>
        </w:rPr>
        <w:t>кошторису (</w:t>
      </w:r>
      <w:r w:rsidR="00FA6CE3">
        <w:rPr>
          <w:sz w:val="28"/>
          <w:szCs w:val="28"/>
          <w:lang w:val="uk-UA"/>
        </w:rPr>
        <w:t>додається</w:t>
      </w:r>
      <w:r w:rsidRPr="0093065A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43E4093F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1710D43B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EB11B7F" w14:textId="0543DA0D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085D59FA" w14:textId="3025A92D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14:paraId="00518598" w14:textId="77777777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27ECD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Т.в.о. начальника відділу </w:t>
      </w:r>
    </w:p>
    <w:p w14:paraId="659B5A5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13E6778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0B8361E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4A4FFD8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9BD6A9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2AE570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54D884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A71D27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A36AA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773E8F0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360313E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F20777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B92E5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1D82A79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38653CF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1EE02D5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9382E2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B4EABC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4212B4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7785A31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5CCED6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5FFB7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2C31E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0824C7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61BB84BC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71DFF989" w14:textId="77777777" w:rsidR="003E1859" w:rsidRPr="00C722D0" w:rsidRDefault="003E1859" w:rsidP="003E1859"/>
    <w:p w14:paraId="3874E36C" w14:textId="77777777" w:rsidR="003E1859" w:rsidRPr="00C722D0" w:rsidRDefault="003E1859" w:rsidP="003E1859"/>
    <w:p w14:paraId="77457A60" w14:textId="77777777" w:rsidR="003E1859" w:rsidRPr="00C722D0" w:rsidRDefault="003E1859" w:rsidP="003E1859"/>
    <w:p w14:paraId="3F74B467" w14:textId="77777777" w:rsidR="003E1859" w:rsidRDefault="003E1859" w:rsidP="003E1859"/>
    <w:p w14:paraId="7B39B33F" w14:textId="77777777" w:rsidR="003E1859" w:rsidRDefault="003E1859" w:rsidP="003E1859"/>
    <w:p w14:paraId="6F9E844D" w14:textId="77777777" w:rsidR="003E1859" w:rsidRDefault="003E1859" w:rsidP="003E1859"/>
    <w:p w14:paraId="2F466719" w14:textId="77777777" w:rsidR="003E1859" w:rsidRDefault="003E1859" w:rsidP="003E1859">
      <w:pPr>
        <w:spacing w:after="160" w:line="259" w:lineRule="auto"/>
      </w:pPr>
      <w:r>
        <w:br w:type="page"/>
      </w: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2D09FDFA" w14:textId="602C4EC4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</w:t>
            </w:r>
          </w:p>
        </w:tc>
      </w:tr>
    </w:tbl>
    <w:p w14:paraId="6FC6556A" w14:textId="77777777" w:rsidR="003E1859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Default="003E1859" w:rsidP="003E185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F784616" w14:textId="77777777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34257436" w14:textId="77777777" w:rsidR="003E1859" w:rsidRDefault="003E1859" w:rsidP="003E1859">
      <w:pPr>
        <w:jc w:val="center"/>
        <w:rPr>
          <w:sz w:val="28"/>
          <w:szCs w:val="28"/>
        </w:rPr>
      </w:pPr>
    </w:p>
    <w:p w14:paraId="1BE81AA1" w14:textId="2AE95336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 w:rsidR="00B72FB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B72FBE" w:rsidRPr="00102517">
        <w:rPr>
          <w:sz w:val="28"/>
          <w:szCs w:val="28"/>
          <w:lang w:val="uk-UA"/>
        </w:rPr>
        <w:t>24.12.2020 р.№3-4/2020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інформування населення </w:t>
      </w:r>
      <w:r>
        <w:rPr>
          <w:sz w:val="28"/>
          <w:szCs w:val="28"/>
          <w:lang w:val="uk-UA"/>
        </w:rPr>
        <w:t xml:space="preserve">та </w:t>
      </w:r>
      <w:r w:rsidRPr="00301E30">
        <w:rPr>
          <w:sz w:val="28"/>
          <w:szCs w:val="28"/>
        </w:rPr>
        <w:t>забезпечення оплати послуг з висвітлення діяльності Ніжинської міської ради, її виконавчого комітету,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та оплати оренди рекламних конструкцій (Сітілайтів)</w:t>
      </w:r>
      <w:r>
        <w:rPr>
          <w:sz w:val="28"/>
          <w:szCs w:val="28"/>
        </w:rPr>
        <w:t xml:space="preserve"> (КПК 0210180 ):</w:t>
      </w:r>
    </w:p>
    <w:p w14:paraId="32525241" w14:textId="77777777" w:rsidR="003E1859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3E1859" w:rsidRPr="003E1859" w14:paraId="73E9F2AD" w14:textId="77777777" w:rsidTr="00E273AB">
        <w:tc>
          <w:tcPr>
            <w:tcW w:w="6204" w:type="dxa"/>
            <w:hideMark/>
          </w:tcPr>
          <w:p w14:paraId="1B2A5132" w14:textId="77777777" w:rsidR="003E1859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Pr="00BB46CB">
              <w:rPr>
                <w:rStyle w:val="a4"/>
                <w:sz w:val="28"/>
                <w:szCs w:val="28"/>
                <w:lang w:eastAsia="en-US"/>
              </w:rPr>
              <w:t>Послуги з висвітлення масової інформації на рекламних конструкціях (Сітілайтах), інформаційних стендах та інших засобах</w:t>
            </w:r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68825E23" w:rsidR="003E1859" w:rsidRPr="003E1859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</w:t>
            </w:r>
            <w:r w:rsidR="00B9107E">
              <w:rPr>
                <w:b/>
                <w:sz w:val="26"/>
                <w:szCs w:val="26"/>
                <w:lang w:val="uk-UA"/>
              </w:rPr>
              <w:t>7 564</w:t>
            </w:r>
            <w:r w:rsidRPr="0059353B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грн. (</w:t>
            </w:r>
            <w:r w:rsidR="00B9107E">
              <w:rPr>
                <w:b/>
                <w:sz w:val="26"/>
                <w:szCs w:val="26"/>
                <w:lang w:val="uk-UA"/>
              </w:rPr>
              <w:t xml:space="preserve">сімнадцять тисяч п’ятсот шістдесят чотири </w:t>
            </w:r>
            <w:r w:rsidRPr="0059353B">
              <w:rPr>
                <w:b/>
                <w:sz w:val="26"/>
                <w:szCs w:val="26"/>
                <w:lang w:val="uk-UA"/>
              </w:rPr>
              <w:t>гр</w:t>
            </w:r>
            <w:r w:rsidR="008F7137">
              <w:rPr>
                <w:b/>
                <w:sz w:val="26"/>
                <w:szCs w:val="26"/>
                <w:lang w:val="uk-UA"/>
              </w:rPr>
              <w:t>н.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  <w:tr w:rsidR="003E1859" w14:paraId="755586A4" w14:textId="77777777" w:rsidTr="00E273AB">
        <w:tc>
          <w:tcPr>
            <w:tcW w:w="6204" w:type="dxa"/>
            <w:hideMark/>
          </w:tcPr>
          <w:p w14:paraId="710FC6DD" w14:textId="77777777" w:rsidR="003E1859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054CFB68" w14:textId="7D5A4F29" w:rsidR="003E1859" w:rsidRDefault="003E1859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</w:t>
            </w:r>
            <w:r w:rsidR="00B9107E">
              <w:rPr>
                <w:b/>
                <w:sz w:val="26"/>
                <w:szCs w:val="26"/>
                <w:lang w:val="uk-UA"/>
              </w:rPr>
              <w:t>7 564</w:t>
            </w:r>
            <w:r w:rsidRPr="0059353B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14:paraId="6D1B34D1" w14:textId="77777777" w:rsidR="003E1859" w:rsidRDefault="003E1859" w:rsidP="003E185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47C61DDA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15B7B338" w14:textId="77777777" w:rsidR="003E1859" w:rsidRPr="002B1132" w:rsidRDefault="003E1859" w:rsidP="003E1859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43631ED2" w14:textId="4FA22B66" w:rsidR="003E1859" w:rsidRPr="00E43FAF" w:rsidRDefault="003E1859" w:rsidP="003E1859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</w:t>
      </w:r>
      <w:r w:rsidR="0042104D">
        <w:rPr>
          <w:sz w:val="28"/>
          <w:szCs w:val="28"/>
          <w:lang w:val="uk-UA"/>
        </w:rPr>
        <w:t xml:space="preserve"> на 2021 рік</w:t>
      </w:r>
      <w:r w:rsidRPr="00E43FAF">
        <w:rPr>
          <w:sz w:val="28"/>
          <w:szCs w:val="28"/>
          <w:lang w:val="uk-UA"/>
        </w:rPr>
        <w:t>»</w:t>
      </w:r>
    </w:p>
    <w:p w14:paraId="4CA22FF6" w14:textId="77777777" w:rsidR="003E1859" w:rsidRPr="00E43FAF" w:rsidRDefault="003E1859" w:rsidP="003E1859">
      <w:pPr>
        <w:jc w:val="center"/>
        <w:rPr>
          <w:sz w:val="28"/>
          <w:szCs w:val="28"/>
          <w:lang w:val="uk-UA"/>
        </w:rPr>
      </w:pPr>
    </w:p>
    <w:p w14:paraId="0516C9C3" w14:textId="33012E98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Pr="00FC7150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</w:t>
      </w:r>
      <w:r w:rsidR="004938AD">
        <w:rPr>
          <w:sz w:val="28"/>
          <w:szCs w:val="28"/>
          <w:lang w:val="uk-UA"/>
        </w:rPr>
        <w:t xml:space="preserve">на 2021 рік </w:t>
      </w:r>
      <w:r w:rsidRPr="00FC7150">
        <w:rPr>
          <w:sz w:val="28"/>
          <w:szCs w:val="28"/>
          <w:lang w:val="uk-UA"/>
        </w:rPr>
        <w:t>затвердженої рішенням Ніжинської міської ради Чернігівської області VIIІ скликання від 24.12.2020 р.№3-4/2020</w:t>
      </w:r>
      <w:r>
        <w:rPr>
          <w:sz w:val="28"/>
          <w:szCs w:val="28"/>
          <w:lang w:val="uk-UA"/>
        </w:rPr>
        <w:t xml:space="preserve"> та з метою висвітлення діяльності Ніжинської міської ради та її виконавчого комітету.</w:t>
      </w:r>
    </w:p>
    <w:p w14:paraId="5646E5B3" w14:textId="5696D578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</w:t>
      </w:r>
      <w:r w:rsidR="00F41546" w:rsidRPr="00F41546">
        <w:rPr>
          <w:sz w:val="28"/>
          <w:szCs w:val="28"/>
          <w:lang w:val="uk-UA"/>
        </w:rPr>
        <w:t xml:space="preserve">інформування населення </w:t>
      </w:r>
      <w:r w:rsidR="00F41546">
        <w:rPr>
          <w:sz w:val="28"/>
          <w:szCs w:val="28"/>
          <w:lang w:val="uk-UA"/>
        </w:rPr>
        <w:t xml:space="preserve">та </w:t>
      </w:r>
      <w:r w:rsidR="00F41546" w:rsidRPr="00F41546">
        <w:rPr>
          <w:sz w:val="28"/>
          <w:szCs w:val="28"/>
          <w:lang w:val="uk-UA"/>
        </w:rPr>
        <w:t>забезпечення оплати послуг з висвітлення діяльності Ніжинської міської ради, її виконавчого комітету,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та оплати оренди рекламних конструкцій (Сітілайтів</w:t>
      </w:r>
      <w:r w:rsidR="00F41546">
        <w:rPr>
          <w:sz w:val="28"/>
          <w:szCs w:val="28"/>
          <w:lang w:val="uk-UA"/>
        </w:rPr>
        <w:t xml:space="preserve">). А саме </w:t>
      </w:r>
      <w:r w:rsidR="00B9107E">
        <w:rPr>
          <w:sz w:val="28"/>
          <w:szCs w:val="28"/>
          <w:lang w:val="uk-UA"/>
        </w:rPr>
        <w:t>з нагоди Дня Незалежності України</w:t>
      </w:r>
      <w:r>
        <w:rPr>
          <w:sz w:val="28"/>
          <w:szCs w:val="28"/>
          <w:lang w:val="uk-UA"/>
        </w:rPr>
        <w:t xml:space="preserve">. </w:t>
      </w:r>
    </w:p>
    <w:p w14:paraId="78E6F624" w14:textId="77777777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4F7DB56B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4A5AAE8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29A4261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2F12A46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8EFB1A0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E7E0ACA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4709BB0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Т.в.о.начальника відділу </w:t>
      </w:r>
    </w:p>
    <w:p w14:paraId="3F115A2C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7BD1C69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комунікацій з громадськістю                                           Ольга ГУК</w:t>
      </w:r>
    </w:p>
    <w:p w14:paraId="4CF79421" w14:textId="77777777" w:rsidR="003E1859" w:rsidRDefault="003E1859" w:rsidP="003E1859">
      <w:pPr>
        <w:rPr>
          <w:szCs w:val="20"/>
          <w:lang w:val="uk-UA"/>
        </w:rPr>
      </w:pPr>
    </w:p>
    <w:p w14:paraId="50FA815E" w14:textId="77777777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541C2A6" w14:textId="77777777" w:rsidR="003E1859" w:rsidRPr="00A20EE0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6D5296E" w14:textId="77777777" w:rsidR="003E1859" w:rsidRPr="00106716" w:rsidRDefault="003E1859" w:rsidP="003E1859">
      <w:pPr>
        <w:rPr>
          <w:lang w:val="uk-UA"/>
        </w:rPr>
      </w:pPr>
    </w:p>
    <w:p w14:paraId="017CD06E" w14:textId="77777777" w:rsidR="007042BC" w:rsidRPr="003E1859" w:rsidRDefault="007042BC">
      <w:pPr>
        <w:rPr>
          <w:lang w:val="uk-UA"/>
        </w:rPr>
      </w:pPr>
    </w:p>
    <w:sectPr w:rsidR="007042BC" w:rsidRPr="003E185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9492E"/>
    <w:rsid w:val="00232E28"/>
    <w:rsid w:val="003663DB"/>
    <w:rsid w:val="003E1859"/>
    <w:rsid w:val="00402E04"/>
    <w:rsid w:val="0042104D"/>
    <w:rsid w:val="004938AD"/>
    <w:rsid w:val="00544C59"/>
    <w:rsid w:val="006332FD"/>
    <w:rsid w:val="007042BC"/>
    <w:rsid w:val="00710AE6"/>
    <w:rsid w:val="00790AF7"/>
    <w:rsid w:val="008018BC"/>
    <w:rsid w:val="0083402F"/>
    <w:rsid w:val="008F7137"/>
    <w:rsid w:val="0093758F"/>
    <w:rsid w:val="00A653BC"/>
    <w:rsid w:val="00B72FBE"/>
    <w:rsid w:val="00B9107E"/>
    <w:rsid w:val="00CE59D4"/>
    <w:rsid w:val="00DE7ED6"/>
    <w:rsid w:val="00F41546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2021-08-16T07:57:00Z</cp:lastPrinted>
  <dcterms:created xsi:type="dcterms:W3CDTF">2021-08-16T07:43:00Z</dcterms:created>
  <dcterms:modified xsi:type="dcterms:W3CDTF">2021-08-16T08:26:00Z</dcterms:modified>
</cp:coreProperties>
</file>