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F4" w:rsidRPr="00EF29D4" w:rsidRDefault="00AB0E7E" w:rsidP="001C24F4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6.6pt;margin-top:.25pt;width:112.6pt;height:42.75pt;z-index:25166233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" stroked="f">
            <v:textbox>
              <w:txbxContent>
                <w:p w:rsidR="004F7CB7" w:rsidRPr="004F7CB7" w:rsidRDefault="004F7CB7" w:rsidP="004F7CB7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Times New Roman" w:hAnsi="Times New Roman"/>
          <w:b/>
          <w:noProof/>
          <w:lang w:val="uk-UA" w:eastAsia="uk-UA"/>
        </w:rPr>
        <w:pict>
          <v:shape id="_x0000_s1027" type="#_x0000_t202" style="position:absolute;left:0;text-align:left;margin-left:156.8pt;margin-top:0;width:96pt;height:53.2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<v:textbox>
              <w:txbxContent>
                <w:p w:rsidR="001C24F4" w:rsidRPr="00C45447" w:rsidRDefault="001C24F4" w:rsidP="001C24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45447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Pr="00AB0E7E">
        <w:rPr>
          <w:noProof/>
          <w:lang w:val="uk-UA" w:eastAsia="uk-UA"/>
        </w:rPr>
        <w:pict>
          <v:shape id="Надпись 4" o:spid="_x0000_s1028" type="#_x0000_t202" style="position:absolute;left:0;text-align:left;margin-left:333.3pt;margin-top:24.5pt;width:162.85pt;height:35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<v:textbox style="mso-fit-shape-to-text:t">
              <w:txbxContent>
                <w:p w:rsidR="001C24F4" w:rsidRPr="00BE2450" w:rsidRDefault="001C24F4" w:rsidP="001C24F4">
                  <w:pPr>
                    <w:pStyle w:val="a3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xbxContent>
            </v:textbox>
          </v:shape>
        </w:pict>
      </w:r>
      <w:r w:rsidR="001C24F4">
        <w:rPr>
          <w:rFonts w:ascii="Times New Roman" w:hAnsi="Times New Roman"/>
          <w:b/>
          <w:lang w:val="uk-UA"/>
        </w:rPr>
        <w:t xml:space="preserve">                                      </w:t>
      </w:r>
      <w:r w:rsidR="001C24F4"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F4" w:rsidRPr="00EF29D4" w:rsidRDefault="001C24F4" w:rsidP="001C24F4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1C24F4" w:rsidRPr="00EF29D4" w:rsidRDefault="001C24F4" w:rsidP="001C24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C24F4" w:rsidRPr="00EF29D4" w:rsidRDefault="001C24F4" w:rsidP="001C24F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1C24F4" w:rsidRPr="00EF29D4" w:rsidRDefault="001C24F4" w:rsidP="001C24F4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1C24F4" w:rsidRPr="00EF29D4" w:rsidRDefault="001C24F4" w:rsidP="001C24F4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1C24F4" w:rsidRPr="00B8691E" w:rsidRDefault="005B4CAB" w:rsidP="001C24F4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13</w:t>
      </w:r>
      <w:r w:rsidR="001C24F4">
        <w:rPr>
          <w:rFonts w:ascii="Times New Roman" w:hAnsi="Times New Roman"/>
          <w:b/>
          <w:sz w:val="32"/>
          <w:lang w:val="uk-UA"/>
        </w:rPr>
        <w:t xml:space="preserve"> </w:t>
      </w:r>
      <w:r w:rsidR="001C24F4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1C24F4">
        <w:rPr>
          <w:rFonts w:ascii="Times New Roman" w:hAnsi="Times New Roman"/>
          <w:b/>
          <w:sz w:val="32"/>
          <w:lang w:val="en-US"/>
        </w:rPr>
        <w:t>I</w:t>
      </w:r>
      <w:r w:rsidR="001C24F4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1C24F4" w:rsidRPr="00EF29D4" w:rsidRDefault="001C24F4" w:rsidP="001C24F4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1C24F4" w:rsidRPr="00EF29D4" w:rsidRDefault="001C24F4" w:rsidP="001C24F4">
      <w:pPr>
        <w:pStyle w:val="1"/>
        <w:rPr>
          <w:b/>
          <w:noProof/>
          <w:sz w:val="28"/>
          <w:lang w:val="uk-UA"/>
        </w:rPr>
      </w:pPr>
    </w:p>
    <w:p w:rsidR="001C24F4" w:rsidRPr="00F43833" w:rsidRDefault="001C24F4" w:rsidP="001C24F4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5B4CAB">
        <w:rPr>
          <w:noProof/>
          <w:sz w:val="28"/>
          <w:lang w:val="uk-UA"/>
        </w:rPr>
        <w:t>16</w:t>
      </w:r>
      <w:r w:rsidRPr="00EF29D4">
        <w:rPr>
          <w:noProof/>
          <w:sz w:val="28"/>
          <w:lang w:val="uk-UA"/>
        </w:rPr>
        <w:t xml:space="preserve">» </w:t>
      </w:r>
      <w:r w:rsidR="005B4CAB">
        <w:rPr>
          <w:noProof/>
          <w:sz w:val="28"/>
          <w:lang w:val="uk-UA"/>
        </w:rPr>
        <w:t>вересня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  <w:t xml:space="preserve">  </w:t>
      </w:r>
      <w:r w:rsidR="005B4CAB">
        <w:rPr>
          <w:noProof/>
          <w:sz w:val="28"/>
          <w:lang w:val="uk-UA"/>
        </w:rPr>
        <w:tab/>
      </w:r>
      <w:r w:rsidR="005B4CAB"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</w:t>
      </w:r>
      <w:r w:rsidR="005B4CAB">
        <w:rPr>
          <w:noProof/>
          <w:sz w:val="28"/>
          <w:lang w:val="uk-UA"/>
        </w:rPr>
        <w:tab/>
      </w:r>
      <w:r w:rsidR="005B4CAB"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 xml:space="preserve">       </w:t>
      </w:r>
      <w:r w:rsidRPr="00EF29D4">
        <w:rPr>
          <w:sz w:val="28"/>
          <w:szCs w:val="28"/>
          <w:lang w:val="uk-UA" w:eastAsia="en-US"/>
        </w:rPr>
        <w:t>№</w:t>
      </w:r>
      <w:r w:rsidR="005B4CAB">
        <w:rPr>
          <w:sz w:val="28"/>
          <w:szCs w:val="28"/>
          <w:lang w:val="uk-UA" w:eastAsia="en-US"/>
        </w:rPr>
        <w:t xml:space="preserve"> 24-13</w:t>
      </w:r>
      <w:r>
        <w:rPr>
          <w:sz w:val="28"/>
          <w:szCs w:val="28"/>
          <w:lang w:val="uk-UA" w:eastAsia="en-US"/>
        </w:rPr>
        <w:t>/2021</w:t>
      </w:r>
    </w:p>
    <w:p w:rsidR="001C24F4" w:rsidRPr="00EF29D4" w:rsidRDefault="001C24F4" w:rsidP="001C24F4">
      <w:pPr>
        <w:pStyle w:val="1"/>
        <w:rPr>
          <w:b/>
          <w:noProof/>
          <w:sz w:val="28"/>
          <w:lang w:val="uk-UA"/>
        </w:rPr>
      </w:pPr>
    </w:p>
    <w:p w:rsidR="001C24F4" w:rsidRDefault="001C24F4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згоди на </w:t>
      </w:r>
    </w:p>
    <w:p w:rsidR="00693737" w:rsidRDefault="001C24F4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списання </w:t>
      </w:r>
      <w:r w:rsidR="00693737">
        <w:rPr>
          <w:rFonts w:ascii="Times New Roman" w:hAnsi="Times New Roman"/>
          <w:noProof/>
          <w:sz w:val="28"/>
          <w:szCs w:val="28"/>
          <w:lang w:val="uk-UA"/>
        </w:rPr>
        <w:t>з балансу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КНП «Ніжинська </w:t>
      </w:r>
    </w:p>
    <w:p w:rsidR="00693737" w:rsidRDefault="001C24F4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ЦМЛ Ім. М. Галицького»</w:t>
      </w:r>
      <w:r w:rsidR="00693737">
        <w:rPr>
          <w:rFonts w:ascii="Times New Roman" w:hAnsi="Times New Roman"/>
          <w:noProof/>
          <w:sz w:val="28"/>
          <w:szCs w:val="28"/>
          <w:lang w:val="uk-UA"/>
        </w:rPr>
        <w:t xml:space="preserve"> індивідуально </w:t>
      </w:r>
    </w:p>
    <w:p w:rsidR="001C24F4" w:rsidRDefault="00693737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визначеного майна</w:t>
      </w:r>
      <w:r w:rsidR="00EC0586">
        <w:rPr>
          <w:rFonts w:ascii="Times New Roman" w:hAnsi="Times New Roman"/>
          <w:noProof/>
          <w:sz w:val="28"/>
          <w:szCs w:val="28"/>
          <w:lang w:val="uk-UA"/>
        </w:rPr>
        <w:t xml:space="preserve"> та інших необоротних </w:t>
      </w:r>
    </w:p>
    <w:p w:rsidR="00EC0586" w:rsidRPr="00EF29D4" w:rsidRDefault="00EC0586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матеріальних активів</w:t>
      </w:r>
    </w:p>
    <w:p w:rsidR="001C24F4" w:rsidRPr="00EF29D4" w:rsidRDefault="001C24F4" w:rsidP="001C24F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1C24F4" w:rsidRPr="00833185" w:rsidRDefault="001C24F4" w:rsidP="001C24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Pr="00375A4B">
        <w:rPr>
          <w:sz w:val="28"/>
          <w:szCs w:val="28"/>
          <w:lang w:val="uk-UA"/>
        </w:rPr>
        <w:t xml:space="preserve"> </w:t>
      </w:r>
      <w:r w:rsidRPr="00375A4B">
        <w:rPr>
          <w:rFonts w:ascii="Times New Roman" w:hAnsi="Times New Roman"/>
          <w:sz w:val="28"/>
          <w:szCs w:val="28"/>
          <w:lang w:val="uk-UA"/>
        </w:rPr>
        <w:t>Порядку списання об’єктів державної власності, затвердженого постановою Кабінету Міністрів України від 08 листопада 2007 року №1314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2EB9">
        <w:rPr>
          <w:sz w:val="28"/>
          <w:szCs w:val="28"/>
          <w:lang w:val="uk-UA"/>
        </w:rPr>
        <w:t xml:space="preserve"> </w:t>
      </w:r>
      <w:r w:rsidRPr="00BE2EB9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</w:t>
      </w:r>
      <w:r w:rsidR="00CF47C1">
        <w:rPr>
          <w:rFonts w:ascii="Times New Roman" w:hAnsi="Times New Roman"/>
          <w:noProof/>
          <w:sz w:val="28"/>
          <w:szCs w:val="28"/>
          <w:lang w:val="uk-UA"/>
        </w:rPr>
        <w:t xml:space="preserve"> листопада 2020 року № 3-2/2020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1C24F4" w:rsidRPr="00EF29D4" w:rsidRDefault="001C24F4" w:rsidP="001C24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згоду комунальному некомерційному підприємству «Ніжинська центральна міська лікарня імені Миколи Галицького» на списання </w:t>
      </w:r>
      <w:r w:rsidR="00693737">
        <w:rPr>
          <w:rFonts w:ascii="Times New Roman" w:hAnsi="Times New Roman"/>
          <w:sz w:val="28"/>
          <w:szCs w:val="28"/>
          <w:lang w:val="uk-UA"/>
        </w:rPr>
        <w:t>індивідуально визначеного майна</w:t>
      </w:r>
      <w:r w:rsidR="00EC0586">
        <w:rPr>
          <w:rFonts w:ascii="Times New Roman" w:hAnsi="Times New Roman"/>
          <w:sz w:val="28"/>
          <w:szCs w:val="28"/>
          <w:lang w:val="uk-UA"/>
        </w:rPr>
        <w:t xml:space="preserve"> та інших необоротних матеріальних активів</w:t>
      </w:r>
      <w:r w:rsidR="00693737">
        <w:rPr>
          <w:rFonts w:ascii="Times New Roman" w:hAnsi="Times New Roman"/>
          <w:sz w:val="28"/>
          <w:szCs w:val="28"/>
          <w:lang w:val="uk-UA"/>
        </w:rPr>
        <w:t xml:space="preserve"> згідно додатку №1 та додатку №2, що додаються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</w:p>
    <w:p w:rsidR="001C24F4" w:rsidRDefault="001C24F4" w:rsidP="001C24F4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C24F4" w:rsidRPr="00833185" w:rsidRDefault="001C24F4" w:rsidP="001C24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та на 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 </w:t>
      </w:r>
    </w:p>
    <w:p w:rsidR="001C24F4" w:rsidRPr="00833185" w:rsidRDefault="001C24F4" w:rsidP="001C24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постійну комісію міської ради з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господарства, комунальної власності, транспорту і зв’язку та енергозбереження.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Дегтяренко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C24F4" w:rsidRPr="00833185" w:rsidRDefault="001C24F4" w:rsidP="001C2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3318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693737" w:rsidRDefault="00693737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C24F4" w:rsidRDefault="005B4CAB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5B4CAB" w:rsidRDefault="005B4CAB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1C24F4" w:rsidRPr="00856328" w:rsidRDefault="001C24F4" w:rsidP="001C24F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центральна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1C24F4" w:rsidRPr="00833185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Олександр КОСТИРКО</w:t>
      </w:r>
    </w:p>
    <w:p w:rsidR="001C24F4" w:rsidRPr="00611427" w:rsidRDefault="001C24F4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C24F4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1C24F4" w:rsidRPr="00860AFC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:rsidR="001C24F4" w:rsidRPr="00300A3E" w:rsidRDefault="001C24F4" w:rsidP="001C24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24F4" w:rsidRPr="00833185" w:rsidRDefault="001C24F4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:rsidR="001C24F4" w:rsidRPr="00856328" w:rsidRDefault="001C24F4" w:rsidP="001C24F4">
      <w:pPr>
        <w:spacing w:after="0"/>
        <w:rPr>
          <w:rFonts w:ascii="Times New Roman" w:hAnsi="Times New Roman"/>
          <w:sz w:val="28"/>
          <w:szCs w:val="28"/>
        </w:rPr>
      </w:pPr>
    </w:p>
    <w:p w:rsidR="001C24F4" w:rsidRPr="00856328" w:rsidRDefault="001C24F4" w:rsidP="001C24F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1C24F4" w:rsidRPr="00833185" w:rsidRDefault="001C24F4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Людмила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ПИСАРЕНКО</w:t>
      </w:r>
    </w:p>
    <w:p w:rsidR="001C24F4" w:rsidRPr="00856328" w:rsidRDefault="001C24F4" w:rsidP="001C24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C24F4" w:rsidRPr="009B3321" w:rsidRDefault="001C24F4" w:rsidP="001C24F4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1C24F4" w:rsidRPr="009B3321" w:rsidRDefault="001C24F4" w:rsidP="001C24F4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1C24F4" w:rsidRDefault="001C24F4" w:rsidP="001C24F4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:rsidR="001C24F4" w:rsidRDefault="001C24F4" w:rsidP="001C24F4">
      <w:pPr>
        <w:pStyle w:val="a4"/>
        <w:contextualSpacing/>
        <w:rPr>
          <w:sz w:val="28"/>
          <w:szCs w:val="28"/>
          <w:lang w:val="uk-UA"/>
        </w:rPr>
      </w:pPr>
    </w:p>
    <w:p w:rsidR="001C24F4" w:rsidRPr="00611427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1427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1142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1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427">
        <w:rPr>
          <w:rFonts w:ascii="Times New Roman" w:hAnsi="Times New Roman"/>
          <w:sz w:val="28"/>
          <w:szCs w:val="28"/>
        </w:rPr>
        <w:t>комунального</w:t>
      </w:r>
      <w:proofErr w:type="spellEnd"/>
    </w:p>
    <w:p w:rsidR="001C24F4" w:rsidRPr="00611427" w:rsidRDefault="001C24F4" w:rsidP="001C24F4">
      <w:pPr>
        <w:pStyle w:val="a4"/>
        <w:contextualSpacing/>
        <w:rPr>
          <w:sz w:val="28"/>
          <w:szCs w:val="28"/>
          <w:lang w:val="uk-UA"/>
        </w:rPr>
      </w:pPr>
      <w:r w:rsidRPr="00611427">
        <w:rPr>
          <w:sz w:val="28"/>
          <w:szCs w:val="28"/>
        </w:rPr>
        <w:t>майна та земельних відносин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</w:t>
      </w:r>
      <w:r w:rsidRPr="00611427">
        <w:rPr>
          <w:sz w:val="28"/>
          <w:szCs w:val="28"/>
        </w:rPr>
        <w:tab/>
      </w:r>
      <w:r w:rsidRPr="00611427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Ірина ОНОКАЛО</w:t>
      </w:r>
    </w:p>
    <w:p w:rsidR="001C24F4" w:rsidRPr="00856328" w:rsidRDefault="001C24F4" w:rsidP="001C24F4">
      <w:pPr>
        <w:pStyle w:val="a4"/>
        <w:contextualSpacing/>
        <w:rPr>
          <w:szCs w:val="28"/>
          <w:lang w:val="uk-UA"/>
        </w:rPr>
      </w:pPr>
    </w:p>
    <w:p w:rsidR="001C24F4" w:rsidRPr="004E1FA9" w:rsidRDefault="001C24F4" w:rsidP="001C24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житлово-комунального господарства,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власності, транспорту і зв’язку</w:t>
      </w:r>
    </w:p>
    <w:p w:rsidR="00200BDB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енергозбереження                                                          </w:t>
      </w:r>
      <w:r w:rsidRPr="00BE2EB9">
        <w:rPr>
          <w:rFonts w:ascii="Times New Roman" w:hAnsi="Times New Roman"/>
          <w:sz w:val="28"/>
          <w:szCs w:val="28"/>
          <w:lang w:val="uk-UA"/>
        </w:rPr>
        <w:t xml:space="preserve">В’ячеслав </w:t>
      </w:r>
      <w:r>
        <w:rPr>
          <w:rFonts w:ascii="Times New Roman" w:hAnsi="Times New Roman"/>
          <w:sz w:val="28"/>
          <w:szCs w:val="28"/>
          <w:lang w:val="uk-UA"/>
        </w:rPr>
        <w:t xml:space="preserve">ДЕГТЯРЕНКО   </w:t>
      </w:r>
    </w:p>
    <w:p w:rsidR="00200BDB" w:rsidRDefault="00200BDB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0BDB" w:rsidRDefault="00200BDB" w:rsidP="00200B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 з</w:t>
      </w:r>
    </w:p>
    <w:p w:rsidR="00200BDB" w:rsidRDefault="00200BDB" w:rsidP="00200B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питань соціально-економічного розвитку, </w:t>
      </w:r>
    </w:p>
    <w:p w:rsidR="00200BDB" w:rsidRDefault="00200BDB" w:rsidP="00200BD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:rsidR="00200BDB" w:rsidRDefault="00200BDB" w:rsidP="00200B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бюджету та фінансів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МАМЕДОВ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4F4" w:rsidRPr="008F5269" w:rsidRDefault="001C24F4" w:rsidP="001C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1C24F4" w:rsidRDefault="001C24F4" w:rsidP="001C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8F5269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 міської ради </w:t>
      </w:r>
    </w:p>
    <w:p w:rsidR="001C24F4" w:rsidRDefault="001C24F4" w:rsidP="001C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269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згоди на списання </w:t>
      </w:r>
      <w:r w:rsidR="00693737">
        <w:rPr>
          <w:rFonts w:ascii="Times New Roman" w:hAnsi="Times New Roman"/>
          <w:b/>
          <w:sz w:val="28"/>
          <w:szCs w:val="28"/>
          <w:lang w:val="uk-UA"/>
        </w:rPr>
        <w:t xml:space="preserve">з балансу </w:t>
      </w:r>
      <w:r w:rsidR="001877BE">
        <w:rPr>
          <w:rFonts w:ascii="Times New Roman" w:hAnsi="Times New Roman"/>
          <w:b/>
          <w:sz w:val="28"/>
          <w:szCs w:val="28"/>
          <w:lang w:val="uk-UA"/>
        </w:rPr>
        <w:t>КНП «Ніжинська ЦМЛ ім. М</w:t>
      </w:r>
      <w:r w:rsidR="00693737">
        <w:rPr>
          <w:rFonts w:ascii="Times New Roman" w:hAnsi="Times New Roman"/>
          <w:b/>
          <w:sz w:val="28"/>
          <w:szCs w:val="28"/>
          <w:lang w:val="uk-UA"/>
        </w:rPr>
        <w:t>. Галицького індивідуально визначеного майна</w:t>
      </w:r>
      <w:r w:rsidR="001877BE">
        <w:rPr>
          <w:rFonts w:ascii="Times New Roman" w:hAnsi="Times New Roman"/>
          <w:b/>
          <w:sz w:val="28"/>
          <w:szCs w:val="28"/>
          <w:lang w:val="uk-UA"/>
        </w:rPr>
        <w:t xml:space="preserve"> та інших необоротних активів</w:t>
      </w:r>
      <w:r w:rsidRPr="008F526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C24F4" w:rsidRDefault="001C24F4" w:rsidP="001C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24F4" w:rsidRDefault="001C24F4" w:rsidP="001C2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877BE" w:rsidRPr="001877BE">
        <w:rPr>
          <w:rFonts w:ascii="Times New Roman" w:hAnsi="Times New Roman"/>
          <w:b/>
          <w:sz w:val="28"/>
          <w:szCs w:val="28"/>
          <w:lang w:val="uk-UA"/>
        </w:rPr>
        <w:t>1.</w:t>
      </w:r>
      <w:r w:rsidR="001877BE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1877BE">
        <w:rPr>
          <w:rFonts w:ascii="Times New Roman" w:hAnsi="Times New Roman"/>
          <w:sz w:val="28"/>
          <w:szCs w:val="28"/>
          <w:lang w:val="uk-UA"/>
        </w:rPr>
        <w:t xml:space="preserve">передбачає </w:t>
      </w:r>
      <w:r>
        <w:rPr>
          <w:rFonts w:ascii="Times New Roman" w:hAnsi="Times New Roman"/>
          <w:sz w:val="28"/>
          <w:szCs w:val="28"/>
          <w:lang w:val="uk-UA"/>
        </w:rPr>
        <w:t xml:space="preserve">списання </w:t>
      </w:r>
      <w:r w:rsidR="00693737">
        <w:rPr>
          <w:rFonts w:ascii="Times New Roman" w:hAnsi="Times New Roman"/>
          <w:sz w:val="28"/>
          <w:szCs w:val="28"/>
          <w:lang w:val="uk-UA"/>
        </w:rPr>
        <w:t>з балансу</w:t>
      </w:r>
      <w:r w:rsidR="001877BE">
        <w:rPr>
          <w:rFonts w:ascii="Times New Roman" w:hAnsi="Times New Roman"/>
          <w:sz w:val="28"/>
          <w:szCs w:val="28"/>
          <w:lang w:val="uk-UA"/>
        </w:rPr>
        <w:t xml:space="preserve"> КНП «Ніжинська ЦМЛ ім. М. Галицького»</w:t>
      </w:r>
      <w:r w:rsidR="00693737">
        <w:rPr>
          <w:rFonts w:ascii="Times New Roman" w:hAnsi="Times New Roman"/>
          <w:sz w:val="28"/>
          <w:szCs w:val="28"/>
          <w:lang w:val="uk-UA"/>
        </w:rPr>
        <w:t xml:space="preserve"> індивідуально визначеного майна</w:t>
      </w:r>
      <w:r w:rsidR="00EC0586">
        <w:rPr>
          <w:rFonts w:ascii="Times New Roman" w:hAnsi="Times New Roman"/>
          <w:sz w:val="28"/>
          <w:szCs w:val="28"/>
          <w:lang w:val="uk-UA"/>
        </w:rPr>
        <w:t xml:space="preserve"> та інших необоротних матеріальних активів</w:t>
      </w:r>
      <w:r w:rsidR="00693737">
        <w:rPr>
          <w:rFonts w:ascii="Times New Roman" w:hAnsi="Times New Roman"/>
          <w:sz w:val="28"/>
          <w:szCs w:val="28"/>
          <w:lang w:val="uk-UA"/>
        </w:rPr>
        <w:t>, яке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CB7">
        <w:rPr>
          <w:rFonts w:ascii="Times New Roman" w:hAnsi="Times New Roman"/>
          <w:sz w:val="28"/>
          <w:szCs w:val="28"/>
          <w:lang w:val="uk-UA"/>
        </w:rPr>
        <w:t>втратило свою цінність на загальну суму 276 359,60 грн.</w:t>
      </w:r>
    </w:p>
    <w:p w:rsidR="001877BE" w:rsidRPr="001877BE" w:rsidRDefault="001877BE" w:rsidP="00187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 xml:space="preserve">кт рішення підготовлений з дотриманням статей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Положення про порядок відчуження та списання майна власності територіальної громади м. Ніжина, яке затверджене рішенням Ніжинської міської ради VI скликання від 24 лютого 2012 року № 12-24/2012, </w:t>
      </w:r>
      <w:r w:rsidRPr="001877BE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</w:p>
    <w:p w:rsidR="001C24F4" w:rsidRPr="001877BE" w:rsidRDefault="001C24F4" w:rsidP="001C24F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877BE" w:rsidRPr="001877BE">
        <w:rPr>
          <w:rFonts w:ascii="Times New Roman" w:hAnsi="Times New Roman"/>
          <w:b/>
          <w:sz w:val="28"/>
          <w:szCs w:val="28"/>
          <w:lang w:val="uk-UA"/>
        </w:rPr>
        <w:t>3.</w:t>
      </w:r>
      <w:r w:rsidR="001877BE" w:rsidRPr="00187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77BE">
        <w:rPr>
          <w:rFonts w:ascii="Times New Roman" w:hAnsi="Times New Roman"/>
          <w:sz w:val="28"/>
          <w:szCs w:val="28"/>
          <w:lang w:val="uk-UA"/>
        </w:rPr>
        <w:t>Р</w:t>
      </w:r>
      <w:r w:rsidR="001877BE" w:rsidRPr="001877BE">
        <w:rPr>
          <w:rFonts w:ascii="Times New Roman" w:hAnsi="Times New Roman"/>
          <w:sz w:val="28"/>
          <w:szCs w:val="28"/>
          <w:lang w:val="uk-UA"/>
        </w:rPr>
        <w:t>еалізація запропонованого рішення</w:t>
      </w:r>
      <w:r w:rsidRPr="001877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877BE" w:rsidRPr="001877BE">
        <w:rPr>
          <w:rFonts w:ascii="Times New Roman" w:hAnsi="Times New Roman"/>
          <w:noProof/>
          <w:sz w:val="28"/>
          <w:szCs w:val="28"/>
          <w:lang w:val="uk-UA"/>
        </w:rPr>
        <w:t>не потребує додаткових фінансових витрат.</w:t>
      </w:r>
    </w:p>
    <w:p w:rsidR="001C24F4" w:rsidRPr="001877BE" w:rsidRDefault="001877BE" w:rsidP="001877B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877BE">
        <w:rPr>
          <w:rFonts w:ascii="Times New Roman" w:hAnsi="Times New Roman"/>
          <w:b/>
          <w:noProof/>
          <w:sz w:val="28"/>
          <w:szCs w:val="28"/>
          <w:lang w:val="uk-UA"/>
        </w:rPr>
        <w:t>4.</w:t>
      </w:r>
      <w:r w:rsidRPr="001877B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Відповідальний за підготовку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1877B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877BE">
        <w:rPr>
          <w:rFonts w:ascii="Times New Roman" w:hAnsi="Times New Roman"/>
          <w:sz w:val="28"/>
          <w:szCs w:val="28"/>
          <w:lang w:val="uk-UA"/>
        </w:rPr>
        <w:t xml:space="preserve"> рішення – генеральний директор КНП «Ніжинська ЦМЛ ім. М. Галицького»</w:t>
      </w:r>
    </w:p>
    <w:p w:rsidR="001C24F4" w:rsidRDefault="001C24F4" w:rsidP="001C2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7BE" w:rsidRDefault="001877BE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24F4" w:rsidRPr="003519E2" w:rsidRDefault="001C24F4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директор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C24F4" w:rsidRPr="003519E2" w:rsidRDefault="001C24F4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1C24F4" w:rsidRDefault="001C24F4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Ім. М.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Галицького»        </w:t>
      </w:r>
      <w:r w:rsidR="000C78B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Pr="003519E2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Олександр КОСТИРКО</w:t>
      </w: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78B0" w:rsidRDefault="000C78B0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Default="004F7CB7" w:rsidP="001C2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7CB7" w:rsidRP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F7CB7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№1 </w:t>
      </w:r>
    </w:p>
    <w:p w:rsidR="004F7CB7" w:rsidRP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4F7CB7">
        <w:rPr>
          <w:rFonts w:ascii="Times New Roman" w:hAnsi="Times New Roman"/>
          <w:sz w:val="24"/>
          <w:szCs w:val="24"/>
          <w:lang w:val="uk-UA"/>
        </w:rPr>
        <w:t xml:space="preserve">о рішення Ніжинської міської ради </w:t>
      </w:r>
    </w:p>
    <w:p w:rsidR="004F7CB7" w:rsidRP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F7CB7">
        <w:rPr>
          <w:rFonts w:ascii="Times New Roman" w:hAnsi="Times New Roman"/>
          <w:sz w:val="24"/>
          <w:szCs w:val="24"/>
          <w:lang w:val="en-US"/>
        </w:rPr>
        <w:t>VIII</w:t>
      </w:r>
      <w:r w:rsidRPr="004F7CB7">
        <w:rPr>
          <w:rFonts w:ascii="Times New Roman" w:hAnsi="Times New Roman"/>
          <w:sz w:val="24"/>
          <w:szCs w:val="24"/>
        </w:rPr>
        <w:t xml:space="preserve"> </w:t>
      </w:r>
      <w:r w:rsidRPr="004F7CB7">
        <w:rPr>
          <w:rFonts w:ascii="Times New Roman" w:hAnsi="Times New Roman"/>
          <w:sz w:val="24"/>
          <w:szCs w:val="24"/>
          <w:lang w:val="uk-UA"/>
        </w:rPr>
        <w:t>скликання</w:t>
      </w:r>
    </w:p>
    <w:p w:rsidR="004F7CB7" w:rsidRP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F7CB7">
        <w:rPr>
          <w:rFonts w:ascii="Times New Roman" w:hAnsi="Times New Roman"/>
          <w:sz w:val="24"/>
          <w:szCs w:val="24"/>
          <w:lang w:val="uk-UA"/>
        </w:rPr>
        <w:t xml:space="preserve">ід «___»_________ 2021 р. </w:t>
      </w:r>
    </w:p>
    <w:p w:rsid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F7CB7">
        <w:rPr>
          <w:rFonts w:ascii="Times New Roman" w:hAnsi="Times New Roman"/>
          <w:sz w:val="24"/>
          <w:szCs w:val="24"/>
          <w:lang w:val="uk-UA"/>
        </w:rPr>
        <w:t>№_________</w:t>
      </w:r>
      <w:r w:rsidRPr="004F7CB7">
        <w:rPr>
          <w:rFonts w:ascii="Times New Roman" w:hAnsi="Times New Roman"/>
          <w:sz w:val="24"/>
          <w:szCs w:val="24"/>
          <w:lang w:val="en-US"/>
        </w:rPr>
        <w:t>/</w:t>
      </w:r>
      <w:r w:rsidRPr="004F7CB7">
        <w:rPr>
          <w:rFonts w:ascii="Times New Roman" w:hAnsi="Times New Roman"/>
          <w:sz w:val="24"/>
          <w:szCs w:val="24"/>
          <w:lang w:val="uk-UA"/>
        </w:rPr>
        <w:t>2021</w:t>
      </w:r>
    </w:p>
    <w:p w:rsidR="004F7CB7" w:rsidRDefault="004F7CB7" w:rsidP="004F7C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/>
      </w:tblPr>
      <w:tblGrid>
        <w:gridCol w:w="1631"/>
        <w:gridCol w:w="2117"/>
        <w:gridCol w:w="1488"/>
        <w:gridCol w:w="1492"/>
        <w:gridCol w:w="1465"/>
        <w:gridCol w:w="1502"/>
      </w:tblGrid>
      <w:tr w:rsidR="00265B76" w:rsidTr="00265B76">
        <w:tc>
          <w:tcPr>
            <w:tcW w:w="1565" w:type="dxa"/>
          </w:tcPr>
          <w:p w:rsidR="00265B76" w:rsidRP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Артикул</w:t>
            </w:r>
          </w:p>
        </w:tc>
        <w:tc>
          <w:tcPr>
            <w:tcW w:w="2117" w:type="dxa"/>
          </w:tcPr>
          <w:p w:rsid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88" w:type="dxa"/>
          </w:tcPr>
          <w:p w:rsid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Од.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92" w:type="dxa"/>
          </w:tcPr>
          <w:p w:rsid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65" w:type="dxa"/>
          </w:tcPr>
          <w:p w:rsid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502" w:type="dxa"/>
          </w:tcPr>
          <w:p w:rsidR="00265B76" w:rsidRDefault="00265B76" w:rsidP="0026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265B76" w:rsidTr="00265B76">
        <w:tc>
          <w:tcPr>
            <w:tcW w:w="1565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1114000193</w:t>
            </w:r>
          </w:p>
        </w:tc>
        <w:tc>
          <w:tcPr>
            <w:tcW w:w="2117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Матраци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ватні</w:t>
            </w:r>
            <w:proofErr w:type="spellEnd"/>
          </w:p>
        </w:tc>
        <w:tc>
          <w:tcPr>
            <w:tcW w:w="1488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465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02" w:type="dxa"/>
          </w:tcPr>
          <w:p w:rsidR="00265B76" w:rsidRPr="001B64B6" w:rsidRDefault="00265B7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736,10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1114000195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Наволочки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верхні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8,64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259,20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1114000197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Ковдра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баєва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дор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30,03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150,15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1114000199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Простирадла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дорослі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16,83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841,50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1114000200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Портьєри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270,00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1114000201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ідковдра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доросла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38,77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1'356,95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1114000202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Подушка перо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672,00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1114000203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Рушник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1,93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38,60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1114000205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Сорочка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жіноча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180,00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1114000220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Халати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медичні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1114000222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Халати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відвідувачів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35,00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1114000223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госп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. дитячий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1114000224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госп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. дорос.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1114000225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Брюки </w:t>
            </w:r>
            <w:proofErr w:type="spellStart"/>
            <w:proofErr w:type="gram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іжамні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дорос.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40,00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1114000226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Кальсони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1114000227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Куртка </w:t>
            </w:r>
            <w:proofErr w:type="spellStart"/>
            <w:proofErr w:type="gram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іж.дорос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1114000228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Сорочка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чоловіча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нижня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1114000229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Сорочка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дитяча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хлоп.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90,00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1114000230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Рушник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махровий</w:t>
            </w:r>
            <w:proofErr w:type="spellEnd"/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11,73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82,10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1114000231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Прапор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</w:tr>
      <w:tr w:rsidR="001B64B6" w:rsidTr="001D3A41">
        <w:tc>
          <w:tcPr>
            <w:tcW w:w="15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1114000232</w:t>
            </w:r>
          </w:p>
        </w:tc>
        <w:tc>
          <w:tcPr>
            <w:tcW w:w="2117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Ковдра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/мац. </w:t>
            </w:r>
            <w:proofErr w:type="spellStart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дор</w:t>
            </w:r>
            <w:proofErr w:type="spellEnd"/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465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0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4B6">
              <w:rPr>
                <w:rFonts w:ascii="Times New Roman" w:hAnsi="Times New Roman"/>
                <w:color w:val="000000"/>
                <w:sz w:val="28"/>
                <w:szCs w:val="28"/>
              </w:rPr>
              <w:t>1'184,00</w:t>
            </w:r>
          </w:p>
        </w:tc>
      </w:tr>
      <w:tr w:rsidR="001B64B6" w:rsidTr="00C84913">
        <w:tc>
          <w:tcPr>
            <w:tcW w:w="1565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на суму</w:t>
            </w:r>
          </w:p>
        </w:tc>
        <w:tc>
          <w:tcPr>
            <w:tcW w:w="2117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2" w:type="dxa"/>
            <w:vAlign w:val="bottom"/>
          </w:tcPr>
          <w:p w:rsidR="001B64B6" w:rsidRPr="001B64B6" w:rsidRDefault="001B64B6" w:rsidP="001B64B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</w:tcPr>
          <w:p w:rsidR="001B64B6" w:rsidRPr="001B64B6" w:rsidRDefault="001B64B6" w:rsidP="001B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B64B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6223,60</w:t>
            </w:r>
          </w:p>
        </w:tc>
      </w:tr>
    </w:tbl>
    <w:p w:rsidR="004F7CB7" w:rsidRPr="004F7CB7" w:rsidRDefault="004F7CB7" w:rsidP="004F7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7E3B" w:rsidRDefault="00C77E3B">
      <w:pPr>
        <w:rPr>
          <w:lang w:val="uk-UA"/>
        </w:rPr>
      </w:pPr>
    </w:p>
    <w:p w:rsidR="001B64B6" w:rsidRDefault="001B64B6">
      <w:pPr>
        <w:rPr>
          <w:lang w:val="uk-UA"/>
        </w:rPr>
      </w:pPr>
    </w:p>
    <w:p w:rsidR="00200BDB" w:rsidRDefault="00200BDB" w:rsidP="0005381C">
      <w:pPr>
        <w:spacing w:after="0"/>
        <w:rPr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C0586" w:rsidRDefault="00EC0586" w:rsidP="0005381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B64B6" w:rsidRPr="001C24F4" w:rsidRDefault="0005381C" w:rsidP="0005381C">
      <w:pPr>
        <w:jc w:val="right"/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</w:p>
    <w:sectPr w:rsidR="001B64B6" w:rsidRPr="001C24F4" w:rsidSect="00C52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444"/>
    <w:rsid w:val="0005381C"/>
    <w:rsid w:val="000C78B0"/>
    <w:rsid w:val="00124444"/>
    <w:rsid w:val="001877BE"/>
    <w:rsid w:val="001B64B6"/>
    <w:rsid w:val="001C24F4"/>
    <w:rsid w:val="00200BDB"/>
    <w:rsid w:val="00265B76"/>
    <w:rsid w:val="004F7CB7"/>
    <w:rsid w:val="005B4CAB"/>
    <w:rsid w:val="00693737"/>
    <w:rsid w:val="00751362"/>
    <w:rsid w:val="007B38AD"/>
    <w:rsid w:val="008D048A"/>
    <w:rsid w:val="00970FDD"/>
    <w:rsid w:val="00AB0E7E"/>
    <w:rsid w:val="00B52EEA"/>
    <w:rsid w:val="00B837E6"/>
    <w:rsid w:val="00BA3781"/>
    <w:rsid w:val="00C52A7F"/>
    <w:rsid w:val="00C77E3B"/>
    <w:rsid w:val="00CF47C1"/>
    <w:rsid w:val="00EC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F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24F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1C24F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1C24F4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C24F4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65B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36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VNMR-49-T</cp:lastModifiedBy>
  <cp:revision>2</cp:revision>
  <cp:lastPrinted>2021-09-09T13:18:00Z</cp:lastPrinted>
  <dcterms:created xsi:type="dcterms:W3CDTF">2021-09-23T11:51:00Z</dcterms:created>
  <dcterms:modified xsi:type="dcterms:W3CDTF">2021-09-23T11:51:00Z</dcterms:modified>
</cp:coreProperties>
</file>