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12" w:rsidRPr="00BB0FEC" w:rsidRDefault="00833A12" w:rsidP="00C14D1B">
      <w:pPr>
        <w:rPr>
          <w:rFonts w:ascii="Calibri" w:hAnsi="Calibri"/>
          <w:b/>
          <w:sz w:val="28"/>
          <w:szCs w:val="28"/>
          <w:lang w:val="uk-UA"/>
        </w:rPr>
      </w:pPr>
      <w:r>
        <w:rPr>
          <w:rFonts w:ascii="Calibri" w:hAnsi="Calibri"/>
          <w:b/>
          <w:sz w:val="28"/>
          <w:szCs w:val="28"/>
          <w:lang w:val="uk-UA"/>
        </w:rPr>
        <w:t xml:space="preserve">                                           </w:t>
      </w:r>
      <w:r w:rsidR="00AD6ACB">
        <w:rPr>
          <w:rFonts w:ascii="Calibri" w:hAnsi="Calibri"/>
          <w:b/>
          <w:sz w:val="28"/>
          <w:szCs w:val="28"/>
          <w:lang w:val="uk-UA"/>
        </w:rPr>
        <w:t xml:space="preserve">            </w:t>
      </w:r>
      <w:r>
        <w:rPr>
          <w:rFonts w:ascii="Calibri" w:hAnsi="Calibri"/>
          <w:b/>
          <w:sz w:val="28"/>
          <w:szCs w:val="28"/>
          <w:lang w:val="uk-UA"/>
        </w:rPr>
        <w:t xml:space="preserve">     </w:t>
      </w:r>
      <w:r>
        <w:rPr>
          <w:rFonts w:ascii="Tms Rmn" w:hAnsi="Tms Rmn"/>
          <w:noProof/>
        </w:rPr>
        <w:drawing>
          <wp:inline distT="0" distB="0" distL="0" distR="0">
            <wp:extent cx="487045" cy="59626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28"/>
          <w:szCs w:val="28"/>
          <w:lang w:val="uk-UA"/>
        </w:rPr>
        <w:t xml:space="preserve">                                    </w:t>
      </w:r>
    </w:p>
    <w:p w:rsidR="00833A12" w:rsidRPr="00556860" w:rsidRDefault="00D823CC" w:rsidP="00C14D1B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</w:t>
      </w:r>
      <w:r w:rsidR="00AD6ACB">
        <w:rPr>
          <w:b/>
          <w:sz w:val="28"/>
          <w:szCs w:val="28"/>
          <w:lang w:val="uk-UA"/>
        </w:rPr>
        <w:t xml:space="preserve">Україна     </w:t>
      </w:r>
      <w:r w:rsidR="00556860">
        <w:rPr>
          <w:b/>
          <w:sz w:val="28"/>
          <w:szCs w:val="28"/>
          <w:lang w:val="uk-UA"/>
        </w:rPr>
        <w:t xml:space="preserve">           </w:t>
      </w:r>
    </w:p>
    <w:p w:rsidR="00833A12" w:rsidRPr="00BB0FEC" w:rsidRDefault="00833A12" w:rsidP="00833A12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ЧЕРНІГІВСЬКА ОБЛАСТЬ</w:t>
      </w:r>
    </w:p>
    <w:p w:rsidR="00833A12" w:rsidRPr="00BB0FEC" w:rsidRDefault="00833A12" w:rsidP="00833A12">
      <w:pPr>
        <w:jc w:val="center"/>
        <w:rPr>
          <w:sz w:val="6"/>
          <w:szCs w:val="6"/>
          <w:lang w:val="uk-UA"/>
        </w:rPr>
      </w:pPr>
    </w:p>
    <w:p w:rsidR="00833A12" w:rsidRPr="00BB0FEC" w:rsidRDefault="00833A12" w:rsidP="00833A12">
      <w:pPr>
        <w:pStyle w:val="1"/>
        <w:rPr>
          <w:lang w:val="uk-UA"/>
        </w:rPr>
      </w:pPr>
      <w:r w:rsidRPr="00BB0FEC">
        <w:rPr>
          <w:lang w:val="uk-UA"/>
        </w:rPr>
        <w:t>Н І Ж И Н С Ь К А    М І С Ь К А    Р А Д А</w:t>
      </w:r>
    </w:p>
    <w:p w:rsidR="00833A12" w:rsidRPr="00BB0FEC" w:rsidRDefault="00833A12" w:rsidP="00833A12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C14D1B">
        <w:rPr>
          <w:sz w:val="32"/>
          <w:lang w:val="uk-UA"/>
        </w:rPr>
        <w:t xml:space="preserve">76 </w:t>
      </w:r>
      <w:r w:rsidRPr="00BB0FEC">
        <w:rPr>
          <w:sz w:val="32"/>
          <w:lang w:val="uk-UA"/>
        </w:rPr>
        <w:t>сесія VII скликання</w:t>
      </w:r>
    </w:p>
    <w:p w:rsidR="00833A12" w:rsidRPr="00BB0FEC" w:rsidRDefault="00833A12" w:rsidP="00833A12">
      <w:pPr>
        <w:jc w:val="center"/>
        <w:rPr>
          <w:sz w:val="28"/>
          <w:szCs w:val="28"/>
          <w:lang w:val="uk-UA"/>
        </w:rPr>
      </w:pPr>
    </w:p>
    <w:p w:rsidR="00833A12" w:rsidRPr="00BB0FEC" w:rsidRDefault="00833A12" w:rsidP="00833A12">
      <w:pPr>
        <w:jc w:val="center"/>
        <w:rPr>
          <w:b/>
          <w:sz w:val="40"/>
          <w:szCs w:val="40"/>
          <w:lang w:val="uk-UA"/>
        </w:rPr>
      </w:pPr>
      <w:r w:rsidRPr="00BB0FE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BB0FEC">
        <w:rPr>
          <w:b/>
          <w:sz w:val="40"/>
          <w:szCs w:val="40"/>
          <w:lang w:val="uk-UA"/>
        </w:rPr>
        <w:t>Н</w:t>
      </w:r>
      <w:proofErr w:type="spellEnd"/>
      <w:r w:rsidRPr="00BB0FEC">
        <w:rPr>
          <w:b/>
          <w:sz w:val="40"/>
          <w:szCs w:val="40"/>
          <w:lang w:val="uk-UA"/>
        </w:rPr>
        <w:t xml:space="preserve"> Я</w:t>
      </w:r>
    </w:p>
    <w:p w:rsidR="00833A12" w:rsidRPr="00BB0FEC" w:rsidRDefault="00833A12" w:rsidP="00833A12">
      <w:pPr>
        <w:jc w:val="center"/>
        <w:rPr>
          <w:b/>
          <w:sz w:val="28"/>
          <w:szCs w:val="28"/>
          <w:lang w:val="uk-UA"/>
        </w:rPr>
      </w:pPr>
    </w:p>
    <w:p w:rsidR="00833A12" w:rsidRPr="00BB0FEC" w:rsidRDefault="00833A12" w:rsidP="001B5C55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</w:t>
      </w:r>
      <w:r w:rsidR="00C14D1B">
        <w:rPr>
          <w:sz w:val="28"/>
          <w:szCs w:val="28"/>
          <w:lang w:val="uk-UA"/>
        </w:rPr>
        <w:t xml:space="preserve">03 серпня </w:t>
      </w:r>
      <w:r w:rsidR="00AD1693">
        <w:rPr>
          <w:sz w:val="28"/>
          <w:szCs w:val="28"/>
          <w:lang w:val="uk-UA"/>
        </w:rPr>
        <w:t>202</w:t>
      </w:r>
      <w:r w:rsidR="001B5C55">
        <w:rPr>
          <w:sz w:val="28"/>
          <w:szCs w:val="28"/>
          <w:lang w:val="uk-UA"/>
        </w:rPr>
        <w:t xml:space="preserve">0 </w:t>
      </w:r>
      <w:r w:rsidRPr="00BB0FEC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BB0FEC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Pr="00BB0FEC">
        <w:rPr>
          <w:sz w:val="28"/>
          <w:szCs w:val="28"/>
          <w:lang w:val="uk-UA"/>
        </w:rPr>
        <w:t xml:space="preserve">  м. Ніжин</w:t>
      </w:r>
      <w:r w:rsidRPr="00BB0FEC">
        <w:rPr>
          <w:sz w:val="28"/>
          <w:szCs w:val="28"/>
          <w:lang w:val="uk-UA"/>
        </w:rPr>
        <w:tab/>
        <w:t xml:space="preserve">    </w:t>
      </w:r>
      <w:r w:rsidR="001B5C55">
        <w:rPr>
          <w:sz w:val="28"/>
          <w:szCs w:val="28"/>
          <w:lang w:val="uk-UA"/>
        </w:rPr>
        <w:t xml:space="preserve">                       </w:t>
      </w:r>
      <w:r w:rsidR="00C14D1B">
        <w:rPr>
          <w:sz w:val="28"/>
          <w:szCs w:val="28"/>
          <w:lang w:val="uk-UA"/>
        </w:rPr>
        <w:t xml:space="preserve"> </w:t>
      </w:r>
      <w:r w:rsidRPr="00BB0FEC">
        <w:rPr>
          <w:sz w:val="28"/>
          <w:szCs w:val="28"/>
          <w:lang w:val="uk-UA"/>
        </w:rPr>
        <w:t>№</w:t>
      </w:r>
      <w:r w:rsidR="00C14D1B">
        <w:rPr>
          <w:sz w:val="28"/>
          <w:szCs w:val="28"/>
          <w:lang w:val="uk-UA"/>
        </w:rPr>
        <w:t xml:space="preserve"> 51-76/2020</w:t>
      </w:r>
    </w:p>
    <w:p w:rsidR="00833A12" w:rsidRPr="00BB0FEC" w:rsidRDefault="00833A12" w:rsidP="00833A1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8"/>
        <w:gridCol w:w="2503"/>
      </w:tblGrid>
      <w:tr w:rsidR="00833A12" w:rsidRPr="00556860" w:rsidTr="00E0528D">
        <w:trPr>
          <w:trHeight w:val="500"/>
        </w:trPr>
        <w:tc>
          <w:tcPr>
            <w:tcW w:w="7068" w:type="dxa"/>
          </w:tcPr>
          <w:p w:rsidR="00833A12" w:rsidRDefault="00833A12" w:rsidP="00E0528D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Переліку об'єктів</w:t>
            </w:r>
          </w:p>
          <w:p w:rsidR="004E6AFF" w:rsidRDefault="00833A12" w:rsidP="00E052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комунальної власності Ніжинської міської </w:t>
            </w:r>
          </w:p>
          <w:p w:rsidR="00833A12" w:rsidRPr="00FE094A" w:rsidRDefault="00833A12" w:rsidP="00E052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об'єднаної територіальної громади </w:t>
            </w:r>
          </w:p>
        </w:tc>
        <w:tc>
          <w:tcPr>
            <w:tcW w:w="2503" w:type="dxa"/>
          </w:tcPr>
          <w:p w:rsidR="00833A12" w:rsidRPr="00BB0FEC" w:rsidRDefault="00833A12" w:rsidP="00E0528D">
            <w:pPr>
              <w:rPr>
                <w:sz w:val="27"/>
                <w:szCs w:val="27"/>
                <w:lang w:val="uk-UA"/>
              </w:rPr>
            </w:pPr>
          </w:p>
          <w:p w:rsidR="00833A12" w:rsidRPr="00BB0FEC" w:rsidRDefault="00833A12" w:rsidP="00E0528D">
            <w:pPr>
              <w:rPr>
                <w:sz w:val="27"/>
                <w:szCs w:val="27"/>
                <w:lang w:val="uk-UA"/>
              </w:rPr>
            </w:pPr>
          </w:p>
          <w:p w:rsidR="00833A12" w:rsidRPr="00BB0FEC" w:rsidRDefault="00833A12" w:rsidP="00E0528D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833A12" w:rsidRPr="00BB0FEC" w:rsidRDefault="00833A12" w:rsidP="00833A12">
      <w:pPr>
        <w:ind w:firstLine="709"/>
        <w:jc w:val="both"/>
        <w:rPr>
          <w:sz w:val="28"/>
          <w:szCs w:val="28"/>
          <w:lang w:val="uk-UA"/>
        </w:rPr>
      </w:pPr>
    </w:p>
    <w:p w:rsidR="00833A12" w:rsidRPr="00BB0FEC" w:rsidRDefault="00C14C26" w:rsidP="00833A1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33A12" w:rsidRPr="00BB0FEC">
        <w:rPr>
          <w:sz w:val="28"/>
          <w:szCs w:val="28"/>
          <w:lang w:val="uk-UA"/>
        </w:rPr>
        <w:t xml:space="preserve">ідповідно до статей 26, 42, 59, 60, 73 Закону України «Про місцеве самоврядування в Україні», </w:t>
      </w:r>
      <w:proofErr w:type="spellStart"/>
      <w:r w:rsidR="00833A12" w:rsidRPr="00BB0FEC">
        <w:rPr>
          <w:sz w:val="28"/>
          <w:szCs w:val="28"/>
          <w:lang w:val="uk-UA"/>
        </w:rPr>
        <w:t>Регламентy</w:t>
      </w:r>
      <w:proofErr w:type="spellEnd"/>
      <w:r w:rsidR="00833A12" w:rsidRPr="00BB0FEC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</w:t>
      </w:r>
      <w:r w:rsidR="00833A12">
        <w:rPr>
          <w:sz w:val="28"/>
          <w:szCs w:val="28"/>
          <w:lang w:val="uk-UA"/>
        </w:rPr>
        <w:t>15 року №1-2/2015 (із змінами) та з метою забезпечення системного обліку і ведення єдиної бази даних об`єктів комунальної власності Ніжинської міської об'єднаної територіальної громади,</w:t>
      </w:r>
      <w:r w:rsidR="00833A12" w:rsidRPr="00BB0FEC">
        <w:rPr>
          <w:sz w:val="28"/>
          <w:szCs w:val="28"/>
          <w:lang w:val="uk-UA"/>
        </w:rPr>
        <w:t xml:space="preserve"> міська рада вирішила:</w:t>
      </w:r>
    </w:p>
    <w:p w:rsidR="00833A12" w:rsidRPr="00BB0FEC" w:rsidRDefault="00833A12" w:rsidP="00833A12">
      <w:pPr>
        <w:ind w:firstLine="709"/>
        <w:jc w:val="both"/>
        <w:rPr>
          <w:sz w:val="28"/>
          <w:szCs w:val="28"/>
          <w:lang w:val="uk-UA"/>
        </w:rPr>
      </w:pPr>
    </w:p>
    <w:p w:rsidR="00833A12" w:rsidRDefault="00833A12" w:rsidP="00833A12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Перелік установ, підприємств і закладів комунальної власності Ніжинської міської об'єднаної територіальн</w:t>
      </w:r>
      <w:r w:rsidR="00EB36D9">
        <w:rPr>
          <w:sz w:val="28"/>
          <w:szCs w:val="28"/>
          <w:lang w:val="uk-UA"/>
        </w:rPr>
        <w:t>ої громади, станом на 31.12.2019</w:t>
      </w:r>
      <w:r>
        <w:rPr>
          <w:sz w:val="28"/>
          <w:szCs w:val="28"/>
          <w:lang w:val="uk-UA"/>
        </w:rPr>
        <w:t xml:space="preserve"> року (додаток № 1).</w:t>
      </w:r>
    </w:p>
    <w:p w:rsidR="00833A12" w:rsidRDefault="00833A12" w:rsidP="00833A12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Реєстр нерухомого майна комунальної власності Ніжинської міської об'єднаної територіальної громади, станом на 31.12.201</w:t>
      </w:r>
      <w:r w:rsidR="00EB36D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року (додаток № 2).</w:t>
      </w:r>
    </w:p>
    <w:p w:rsidR="00833A12" w:rsidRDefault="00833A12" w:rsidP="00833A12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Затвердити Перелік транспортних засобів комунальної власності Ніжинської міської об'єднаної територіальн</w:t>
      </w:r>
      <w:r w:rsidR="00EB36D9">
        <w:rPr>
          <w:sz w:val="28"/>
          <w:szCs w:val="28"/>
          <w:lang w:val="uk-UA"/>
        </w:rPr>
        <w:t>ої громади, станом на 31.12.2019</w:t>
      </w:r>
      <w:r>
        <w:rPr>
          <w:sz w:val="28"/>
          <w:szCs w:val="28"/>
          <w:lang w:val="uk-UA"/>
        </w:rPr>
        <w:t xml:space="preserve"> року (додаток № 3).</w:t>
      </w:r>
    </w:p>
    <w:p w:rsidR="00833A12" w:rsidRPr="00BB0FEC" w:rsidRDefault="00833A12" w:rsidP="00833A12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BB0FE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BB0FEC">
        <w:rPr>
          <w:sz w:val="28"/>
          <w:szCs w:val="28"/>
          <w:lang w:val="uk-UA"/>
        </w:rPr>
        <w:t xml:space="preserve">Начальнику відділу комунального майна </w:t>
      </w:r>
      <w:r w:rsidR="00EB36D9">
        <w:rPr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 w:rsidR="003B65D6">
        <w:rPr>
          <w:sz w:val="28"/>
          <w:szCs w:val="28"/>
          <w:lang w:val="uk-UA"/>
        </w:rPr>
        <w:t xml:space="preserve"> </w:t>
      </w:r>
      <w:proofErr w:type="spellStart"/>
      <w:r w:rsidR="003B65D6">
        <w:rPr>
          <w:sz w:val="28"/>
          <w:szCs w:val="28"/>
          <w:lang w:val="uk-UA"/>
        </w:rPr>
        <w:t>Федчун</w:t>
      </w:r>
      <w:proofErr w:type="spellEnd"/>
      <w:r w:rsidR="003B65D6">
        <w:rPr>
          <w:sz w:val="28"/>
          <w:szCs w:val="28"/>
          <w:lang w:val="uk-UA"/>
        </w:rPr>
        <w:t xml:space="preserve"> Н.О</w:t>
      </w:r>
      <w:r w:rsidRPr="00BB0FEC">
        <w:rPr>
          <w:sz w:val="28"/>
          <w:szCs w:val="28"/>
          <w:lang w:val="uk-UA"/>
        </w:rPr>
        <w:t xml:space="preserve">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833A12" w:rsidRPr="00BB0FEC" w:rsidRDefault="00833A12" w:rsidP="00833A12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B0FEC">
        <w:rPr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</w:t>
      </w:r>
      <w:r>
        <w:rPr>
          <w:sz w:val="28"/>
          <w:szCs w:val="28"/>
          <w:lang w:val="uk-UA"/>
        </w:rPr>
        <w:t xml:space="preserve"> (голова комісії -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  <w:r>
        <w:rPr>
          <w:sz w:val="28"/>
          <w:szCs w:val="28"/>
          <w:lang w:val="uk-UA"/>
        </w:rPr>
        <w:t xml:space="preserve"> І.А</w:t>
      </w:r>
      <w:r w:rsidRPr="00BB0FE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</w:t>
      </w:r>
    </w:p>
    <w:p w:rsidR="00833A12" w:rsidRPr="00BB0FEC" w:rsidRDefault="00833A12" w:rsidP="00833A12">
      <w:pPr>
        <w:ind w:firstLine="708"/>
        <w:jc w:val="both"/>
        <w:rPr>
          <w:sz w:val="28"/>
          <w:szCs w:val="28"/>
          <w:lang w:val="uk-UA"/>
        </w:rPr>
      </w:pPr>
    </w:p>
    <w:p w:rsidR="00833A12" w:rsidRDefault="00833A12" w:rsidP="00EB36D9">
      <w:pPr>
        <w:jc w:val="both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 xml:space="preserve">Міський </w:t>
      </w:r>
      <w:r>
        <w:rPr>
          <w:b/>
          <w:sz w:val="28"/>
          <w:szCs w:val="28"/>
          <w:lang w:val="uk-UA"/>
        </w:rPr>
        <w:t>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  <w:t xml:space="preserve">        </w:t>
      </w:r>
      <w:r w:rsidR="00EB36D9">
        <w:rPr>
          <w:b/>
          <w:sz w:val="28"/>
          <w:szCs w:val="28"/>
          <w:lang w:val="uk-UA"/>
        </w:rPr>
        <w:t xml:space="preserve">                      </w:t>
      </w:r>
      <w:r w:rsidRPr="00BB0FEC">
        <w:rPr>
          <w:b/>
          <w:sz w:val="28"/>
          <w:szCs w:val="28"/>
          <w:lang w:val="uk-UA"/>
        </w:rPr>
        <w:t xml:space="preserve">А.В. </w:t>
      </w:r>
      <w:proofErr w:type="spellStart"/>
      <w:r w:rsidRPr="00BB0FEC">
        <w:rPr>
          <w:b/>
          <w:sz w:val="28"/>
          <w:szCs w:val="28"/>
          <w:lang w:val="uk-UA"/>
        </w:rPr>
        <w:t>Лінник</w:t>
      </w:r>
      <w:proofErr w:type="spellEnd"/>
    </w:p>
    <w:p w:rsidR="00833A12" w:rsidRDefault="00833A12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833A12" w:rsidRDefault="00833A12" w:rsidP="00833A12">
      <w:pPr>
        <w:ind w:firstLine="708"/>
        <w:jc w:val="both"/>
        <w:rPr>
          <w:b/>
          <w:sz w:val="28"/>
          <w:szCs w:val="28"/>
          <w:lang w:val="uk-UA"/>
        </w:rPr>
      </w:pPr>
    </w:p>
    <w:tbl>
      <w:tblPr>
        <w:tblW w:w="9573" w:type="dxa"/>
        <w:tblLayout w:type="fixed"/>
        <w:tblLook w:val="04A0"/>
      </w:tblPr>
      <w:tblGrid>
        <w:gridCol w:w="7412"/>
        <w:gridCol w:w="2161"/>
      </w:tblGrid>
      <w:tr w:rsidR="00833A12" w:rsidTr="00DD1F41">
        <w:tc>
          <w:tcPr>
            <w:tcW w:w="7412" w:type="dxa"/>
          </w:tcPr>
          <w:p w:rsidR="00833A12" w:rsidRDefault="00C14D1B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Візують</w:t>
            </w:r>
            <w:r w:rsidR="00833A12">
              <w:rPr>
                <w:b/>
                <w:sz w:val="28"/>
                <w:szCs w:val="28"/>
                <w:lang w:val="uk-UA"/>
              </w:rPr>
              <w:t>:</w:t>
            </w: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</w:tcPr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</w:tc>
      </w:tr>
      <w:tr w:rsidR="00833A12" w:rsidTr="00DD1F41">
        <w:tc>
          <w:tcPr>
            <w:tcW w:w="7412" w:type="dxa"/>
            <w:hideMark/>
          </w:tcPr>
          <w:p w:rsidR="00DD1F41" w:rsidRDefault="00833A12" w:rsidP="00DD1F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відділу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gramStart"/>
            <w:r w:rsidR="00DD1F41">
              <w:rPr>
                <w:sz w:val="28"/>
                <w:szCs w:val="28"/>
              </w:rPr>
              <w:t>коммунального</w:t>
            </w:r>
            <w:proofErr w:type="gramEnd"/>
          </w:p>
          <w:p w:rsidR="00DD1F41" w:rsidRDefault="00DD1F41" w:rsidP="00DD1F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proofErr w:type="spellStart"/>
            <w:r w:rsidR="00833A12">
              <w:rPr>
                <w:sz w:val="28"/>
                <w:szCs w:val="28"/>
              </w:rPr>
              <w:t>айна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управління комунального майна та</w:t>
            </w:r>
          </w:p>
          <w:p w:rsidR="00833A12" w:rsidRPr="00DD1F41" w:rsidRDefault="00DD1F41" w:rsidP="00DD1F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земельних відносин Ніжинської міської ради</w:t>
            </w:r>
          </w:p>
        </w:tc>
        <w:tc>
          <w:tcPr>
            <w:tcW w:w="2161" w:type="dxa"/>
          </w:tcPr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DD1F41" w:rsidRDefault="00DD1F41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Н.О. </w:t>
            </w: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</w:p>
        </w:tc>
      </w:tr>
      <w:tr w:rsidR="00833A12" w:rsidTr="00DD1F41">
        <w:tc>
          <w:tcPr>
            <w:tcW w:w="7412" w:type="dxa"/>
          </w:tcPr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33A12" w:rsidRDefault="00833A12" w:rsidP="00E05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</w:p>
          <w:p w:rsidR="00833A12" w:rsidRPr="00C14D1B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виконавчих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2161" w:type="dxa"/>
          </w:tcPr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 М. Олійник</w:t>
            </w:r>
          </w:p>
        </w:tc>
      </w:tr>
      <w:tr w:rsidR="00833A12" w:rsidTr="00DD1F41">
        <w:tc>
          <w:tcPr>
            <w:tcW w:w="7412" w:type="dxa"/>
          </w:tcPr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2161" w:type="dxa"/>
          </w:tcPr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 В. Салогуб</w:t>
            </w:r>
          </w:p>
        </w:tc>
      </w:tr>
      <w:tr w:rsidR="00833A12" w:rsidTr="00DD1F41">
        <w:tc>
          <w:tcPr>
            <w:tcW w:w="7412" w:type="dxa"/>
          </w:tcPr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юридично-кадрового</w:t>
            </w: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апарату виконавчого комітету</w:t>
            </w: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Ніжинської міської ради</w:t>
            </w:r>
          </w:p>
        </w:tc>
        <w:tc>
          <w:tcPr>
            <w:tcW w:w="2161" w:type="dxa"/>
          </w:tcPr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О. </w:t>
            </w:r>
            <w:proofErr w:type="spellStart"/>
            <w:r>
              <w:rPr>
                <w:sz w:val="28"/>
                <w:szCs w:val="28"/>
                <w:lang w:val="uk-UA"/>
              </w:rPr>
              <w:t>Лега</w:t>
            </w:r>
            <w:proofErr w:type="spellEnd"/>
          </w:p>
        </w:tc>
      </w:tr>
      <w:tr w:rsidR="00833A12" w:rsidTr="00DD1F41">
        <w:tc>
          <w:tcPr>
            <w:tcW w:w="7412" w:type="dxa"/>
          </w:tcPr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Г</w:t>
            </w:r>
            <w:r>
              <w:rPr>
                <w:sz w:val="28"/>
              </w:rPr>
              <w:t xml:space="preserve">олова </w:t>
            </w:r>
            <w:r>
              <w:rPr>
                <w:sz w:val="28"/>
                <w:szCs w:val="28"/>
                <w:lang w:val="uk-UA"/>
              </w:rPr>
              <w:t xml:space="preserve">постійної комісії міської ради з </w:t>
            </w:r>
          </w:p>
          <w:p w:rsidR="00833A12" w:rsidRDefault="00833A12" w:rsidP="00E05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майнових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житлово-комунальних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33A12" w:rsidRDefault="00833A12" w:rsidP="00E05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транспорту, </w:t>
            </w:r>
            <w:proofErr w:type="spellStart"/>
            <w:r>
              <w:rPr>
                <w:sz w:val="28"/>
                <w:szCs w:val="28"/>
              </w:rPr>
              <w:t>зв’язку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охорони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навколишнього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середовища</w:t>
            </w:r>
            <w:proofErr w:type="spellEnd"/>
          </w:p>
        </w:tc>
        <w:tc>
          <w:tcPr>
            <w:tcW w:w="2161" w:type="dxa"/>
          </w:tcPr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І. А. </w:t>
            </w:r>
            <w:proofErr w:type="spellStart"/>
            <w:r>
              <w:rPr>
                <w:sz w:val="28"/>
                <w:szCs w:val="28"/>
                <w:lang w:val="uk-UA"/>
              </w:rPr>
              <w:t>Онокало</w:t>
            </w:r>
            <w:proofErr w:type="spellEnd"/>
          </w:p>
        </w:tc>
      </w:tr>
      <w:tr w:rsidR="00833A12" w:rsidTr="00DD1F41">
        <w:tc>
          <w:tcPr>
            <w:tcW w:w="7412" w:type="dxa"/>
          </w:tcPr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</w:p>
          <w:p w:rsidR="00833A12" w:rsidRDefault="00833A12" w:rsidP="00E05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</w:rPr>
              <w:t xml:space="preserve">олова </w:t>
            </w:r>
            <w:proofErr w:type="spellStart"/>
            <w:r>
              <w:rPr>
                <w:sz w:val="28"/>
                <w:szCs w:val="28"/>
              </w:rPr>
              <w:t>комісії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регламенту, </w:t>
            </w:r>
          </w:p>
          <w:p w:rsidR="00833A12" w:rsidRDefault="00833A12" w:rsidP="00E05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депутатської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етики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33A12" w:rsidRDefault="00833A12" w:rsidP="00E052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законності</w:t>
            </w:r>
            <w:proofErr w:type="spellEnd"/>
            <w:r>
              <w:rPr>
                <w:sz w:val="28"/>
                <w:szCs w:val="28"/>
              </w:rPr>
              <w:t xml:space="preserve">, правопорядку, </w:t>
            </w:r>
            <w:proofErr w:type="spellStart"/>
            <w:r>
              <w:rPr>
                <w:sz w:val="28"/>
                <w:szCs w:val="28"/>
              </w:rPr>
              <w:t>антикорупційної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політики</w:t>
            </w:r>
            <w:proofErr w:type="spellEnd"/>
            <w:r>
              <w:rPr>
                <w:sz w:val="28"/>
                <w:szCs w:val="28"/>
              </w:rPr>
              <w:t>, </w:t>
            </w:r>
            <w:proofErr w:type="spellStart"/>
            <w:r>
              <w:rPr>
                <w:sz w:val="28"/>
                <w:szCs w:val="28"/>
              </w:rPr>
              <w:t>свободи</w:t>
            </w:r>
            <w:proofErr w:type="spellEnd"/>
            <w:r>
              <w:rPr>
                <w:sz w:val="28"/>
                <w:szCs w:val="28"/>
              </w:rPr>
              <w:t> слова та </w:t>
            </w:r>
            <w:proofErr w:type="spellStart"/>
            <w:r>
              <w:rPr>
                <w:sz w:val="28"/>
                <w:szCs w:val="28"/>
              </w:rPr>
              <w:t>зв’язків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громадськістю</w:t>
            </w:r>
            <w:proofErr w:type="spellEnd"/>
          </w:p>
        </w:tc>
        <w:tc>
          <w:tcPr>
            <w:tcW w:w="2161" w:type="dxa"/>
          </w:tcPr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ind w:left="-322"/>
              <w:rPr>
                <w:sz w:val="28"/>
                <w:szCs w:val="28"/>
              </w:rPr>
            </w:pPr>
          </w:p>
          <w:p w:rsidR="00833A12" w:rsidRDefault="00833A12" w:rsidP="00E0528D">
            <w:pPr>
              <w:tabs>
                <w:tab w:val="left" w:pos="1005"/>
                <w:tab w:val="left" w:pos="6735"/>
                <w:tab w:val="left" w:pos="760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 В. Щербак</w:t>
            </w:r>
          </w:p>
        </w:tc>
      </w:tr>
    </w:tbl>
    <w:p w:rsidR="00833A12" w:rsidRPr="00BB0FEC" w:rsidRDefault="00833A12" w:rsidP="00833A12">
      <w:pPr>
        <w:ind w:firstLine="708"/>
        <w:jc w:val="both"/>
        <w:rPr>
          <w:b/>
          <w:sz w:val="28"/>
          <w:szCs w:val="28"/>
          <w:lang w:val="uk-UA"/>
        </w:rPr>
      </w:pPr>
    </w:p>
    <w:p w:rsidR="00833A12" w:rsidRDefault="00833A12" w:rsidP="00833A12">
      <w:pPr>
        <w:rPr>
          <w:sz w:val="28"/>
          <w:szCs w:val="28"/>
          <w:lang w:val="uk-UA"/>
        </w:rPr>
      </w:pPr>
    </w:p>
    <w:p w:rsidR="00833A12" w:rsidRPr="00BB0FEC" w:rsidRDefault="00833A12" w:rsidP="00833A12">
      <w:pPr>
        <w:rPr>
          <w:sz w:val="28"/>
          <w:szCs w:val="28"/>
          <w:lang w:val="uk-UA"/>
        </w:rPr>
      </w:pPr>
    </w:p>
    <w:p w:rsidR="00833A12" w:rsidRDefault="00833A12" w:rsidP="00833A12">
      <w:pPr>
        <w:rPr>
          <w:sz w:val="28"/>
          <w:szCs w:val="28"/>
          <w:lang w:val="uk-UA"/>
        </w:rPr>
      </w:pPr>
      <w:bookmarkStart w:id="0" w:name="_GoBack"/>
      <w:bookmarkEnd w:id="0"/>
    </w:p>
    <w:p w:rsidR="00833A12" w:rsidRDefault="00833A12" w:rsidP="00833A12">
      <w:pPr>
        <w:rPr>
          <w:sz w:val="28"/>
          <w:szCs w:val="28"/>
          <w:lang w:val="uk-UA"/>
        </w:rPr>
      </w:pPr>
    </w:p>
    <w:p w:rsidR="00833A12" w:rsidRDefault="00833A12" w:rsidP="00833A12">
      <w:pPr>
        <w:rPr>
          <w:sz w:val="28"/>
          <w:szCs w:val="28"/>
          <w:lang w:val="uk-UA"/>
        </w:rPr>
      </w:pPr>
    </w:p>
    <w:p w:rsidR="00833A12" w:rsidRDefault="00833A12" w:rsidP="00833A12">
      <w:pPr>
        <w:rPr>
          <w:sz w:val="28"/>
          <w:szCs w:val="28"/>
          <w:lang w:val="uk-UA"/>
        </w:rPr>
      </w:pPr>
    </w:p>
    <w:p w:rsidR="00833A12" w:rsidRDefault="00833A12" w:rsidP="00833A12">
      <w:pPr>
        <w:rPr>
          <w:sz w:val="28"/>
          <w:szCs w:val="28"/>
          <w:lang w:val="uk-UA"/>
        </w:rPr>
      </w:pPr>
    </w:p>
    <w:p w:rsidR="00C14D1B" w:rsidRDefault="00C14D1B" w:rsidP="00833A12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14D1B" w:rsidRDefault="00C14D1B" w:rsidP="00833A12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14D1B" w:rsidRDefault="00C14D1B" w:rsidP="00833A12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14D1B" w:rsidRDefault="00C14D1B" w:rsidP="00833A12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14D1B" w:rsidRDefault="00C14D1B" w:rsidP="00833A12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14D1B" w:rsidRDefault="00C14D1B" w:rsidP="00833A12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14D1B" w:rsidRDefault="00C14D1B" w:rsidP="00833A12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14D1B" w:rsidRDefault="00C14D1B" w:rsidP="00833A12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sectPr w:rsidR="00C14D1B" w:rsidSect="0088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7ED"/>
    <w:rsid w:val="00011251"/>
    <w:rsid w:val="000417D8"/>
    <w:rsid w:val="00051A34"/>
    <w:rsid w:val="00052E96"/>
    <w:rsid w:val="00057A2C"/>
    <w:rsid w:val="00083A78"/>
    <w:rsid w:val="000A5F6C"/>
    <w:rsid w:val="000E72A8"/>
    <w:rsid w:val="000F0D2D"/>
    <w:rsid w:val="00124F3A"/>
    <w:rsid w:val="001344C0"/>
    <w:rsid w:val="0015608D"/>
    <w:rsid w:val="001A76BF"/>
    <w:rsid w:val="001B5C55"/>
    <w:rsid w:val="00241BDD"/>
    <w:rsid w:val="002779C7"/>
    <w:rsid w:val="00281288"/>
    <w:rsid w:val="0029733F"/>
    <w:rsid w:val="002D30E0"/>
    <w:rsid w:val="002E1B54"/>
    <w:rsid w:val="00342B3E"/>
    <w:rsid w:val="00386909"/>
    <w:rsid w:val="003B2020"/>
    <w:rsid w:val="003B65D6"/>
    <w:rsid w:val="003C4CED"/>
    <w:rsid w:val="003D0837"/>
    <w:rsid w:val="003D1C6E"/>
    <w:rsid w:val="003D7011"/>
    <w:rsid w:val="00444AB9"/>
    <w:rsid w:val="0046472E"/>
    <w:rsid w:val="004E6AFF"/>
    <w:rsid w:val="004F3FAE"/>
    <w:rsid w:val="004F630E"/>
    <w:rsid w:val="00556318"/>
    <w:rsid w:val="00556860"/>
    <w:rsid w:val="00561ED5"/>
    <w:rsid w:val="00564FD3"/>
    <w:rsid w:val="005B1452"/>
    <w:rsid w:val="005D67FD"/>
    <w:rsid w:val="005D70E7"/>
    <w:rsid w:val="00625C9B"/>
    <w:rsid w:val="006750FC"/>
    <w:rsid w:val="006950BA"/>
    <w:rsid w:val="006A3C1A"/>
    <w:rsid w:val="006B7B84"/>
    <w:rsid w:val="006C27ED"/>
    <w:rsid w:val="006C6606"/>
    <w:rsid w:val="006D5FED"/>
    <w:rsid w:val="006E6B98"/>
    <w:rsid w:val="007005CB"/>
    <w:rsid w:val="00702197"/>
    <w:rsid w:val="007059F3"/>
    <w:rsid w:val="0075715B"/>
    <w:rsid w:val="007A1984"/>
    <w:rsid w:val="007E1DB8"/>
    <w:rsid w:val="00824463"/>
    <w:rsid w:val="00833A12"/>
    <w:rsid w:val="00875876"/>
    <w:rsid w:val="0088007A"/>
    <w:rsid w:val="009054C1"/>
    <w:rsid w:val="009103A9"/>
    <w:rsid w:val="00934827"/>
    <w:rsid w:val="009445AA"/>
    <w:rsid w:val="0095067A"/>
    <w:rsid w:val="00960FF9"/>
    <w:rsid w:val="00995DF3"/>
    <w:rsid w:val="009971A2"/>
    <w:rsid w:val="009C1123"/>
    <w:rsid w:val="00A21A66"/>
    <w:rsid w:val="00A50F74"/>
    <w:rsid w:val="00A52FE7"/>
    <w:rsid w:val="00A828C6"/>
    <w:rsid w:val="00AB6665"/>
    <w:rsid w:val="00AD1693"/>
    <w:rsid w:val="00AD6ACB"/>
    <w:rsid w:val="00AF0DED"/>
    <w:rsid w:val="00B02E28"/>
    <w:rsid w:val="00BC023B"/>
    <w:rsid w:val="00BD7021"/>
    <w:rsid w:val="00C001CC"/>
    <w:rsid w:val="00C14C26"/>
    <w:rsid w:val="00C14D1B"/>
    <w:rsid w:val="00C76ACF"/>
    <w:rsid w:val="00C87C52"/>
    <w:rsid w:val="00CF6085"/>
    <w:rsid w:val="00D2310F"/>
    <w:rsid w:val="00D61F01"/>
    <w:rsid w:val="00D823CC"/>
    <w:rsid w:val="00DD1F41"/>
    <w:rsid w:val="00E860C1"/>
    <w:rsid w:val="00EB36D9"/>
    <w:rsid w:val="00EF7AE2"/>
    <w:rsid w:val="00F21B98"/>
    <w:rsid w:val="00F376D1"/>
    <w:rsid w:val="00F425F2"/>
    <w:rsid w:val="00F47884"/>
    <w:rsid w:val="00F62C00"/>
    <w:rsid w:val="00F76105"/>
    <w:rsid w:val="00FE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VNMR-53-01</cp:lastModifiedBy>
  <cp:revision>5</cp:revision>
  <cp:lastPrinted>2020-08-04T06:06:00Z</cp:lastPrinted>
  <dcterms:created xsi:type="dcterms:W3CDTF">2020-08-04T05:46:00Z</dcterms:created>
  <dcterms:modified xsi:type="dcterms:W3CDTF">2020-08-04T06:17:00Z</dcterms:modified>
</cp:coreProperties>
</file>