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ook w:val="04A0" w:firstRow="1" w:lastRow="0" w:firstColumn="1" w:lastColumn="0" w:noHBand="0" w:noVBand="1"/>
      </w:tblPr>
      <w:tblGrid>
        <w:gridCol w:w="4421"/>
        <w:gridCol w:w="1115"/>
        <w:gridCol w:w="1117"/>
        <w:gridCol w:w="1256"/>
        <w:gridCol w:w="1093"/>
        <w:gridCol w:w="889"/>
        <w:gridCol w:w="1097"/>
      </w:tblGrid>
      <w:tr w:rsidR="00A953F1" w:rsidRPr="00A953F1" w:rsidTr="00A953F1">
        <w:trPr>
          <w:trHeight w:val="255"/>
        </w:trPr>
        <w:tc>
          <w:tcPr>
            <w:tcW w:w="19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bookmarkStart w:id="0" w:name="RANGE!A1:G44"/>
            <w:bookmarkEnd w:id="0"/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A953F1" w:rsidRPr="00A953F1" w:rsidTr="00A953F1">
        <w:trPr>
          <w:trHeight w:val="615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A953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Аналіз ефективності виконання бюджетних програм </w:t>
            </w:r>
            <w:r w:rsidRPr="00A953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br/>
              <w:t>по управлінню культури і туризму Ніжинської міської ради</w:t>
            </w:r>
          </w:p>
        </w:tc>
      </w:tr>
      <w:tr w:rsidR="00A953F1" w:rsidRPr="00A953F1" w:rsidTr="00A953F1">
        <w:trPr>
          <w:trHeight w:val="405"/>
        </w:trPr>
        <w:tc>
          <w:tcPr>
            <w:tcW w:w="19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9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uk-UA"/>
              </w:rPr>
            </w:pPr>
            <w:r w:rsidRPr="00A953F1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uk-UA"/>
              </w:rPr>
              <w:t>1014040</w:t>
            </w:r>
          </w:p>
        </w:tc>
      </w:tr>
      <w:tr w:rsidR="00A953F1" w:rsidRPr="00A953F1" w:rsidTr="00A953F1">
        <w:trPr>
          <w:trHeight w:val="600"/>
        </w:trPr>
        <w:tc>
          <w:tcPr>
            <w:tcW w:w="19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A953F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Програма:</w:t>
            </w:r>
            <w:r w:rsidRPr="00A953F1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</w:p>
        </w:tc>
        <w:tc>
          <w:tcPr>
            <w:tcW w:w="3032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A953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Забезпечення  діяльності  музеїв  і  виставок</w:t>
            </w:r>
          </w:p>
        </w:tc>
      </w:tr>
      <w:tr w:rsidR="00A953F1" w:rsidRPr="00A953F1" w:rsidTr="00A953F1">
        <w:trPr>
          <w:trHeight w:val="945"/>
        </w:trPr>
        <w:tc>
          <w:tcPr>
            <w:tcW w:w="19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A953F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Завдання:</w:t>
            </w:r>
          </w:p>
        </w:tc>
        <w:tc>
          <w:tcPr>
            <w:tcW w:w="3032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A953F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Забезпечення збереження популяризації духовного надбання нації (розвиток інфраструктури музеїв), забезпечення виставковою діяльністю</w:t>
            </w:r>
          </w:p>
        </w:tc>
      </w:tr>
      <w:tr w:rsidR="00A953F1" w:rsidRPr="00A953F1" w:rsidTr="00A953F1">
        <w:trPr>
          <w:trHeight w:val="315"/>
        </w:trPr>
        <w:tc>
          <w:tcPr>
            <w:tcW w:w="5000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953F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Виконання результативних показників бюджетної програми</w:t>
            </w:r>
          </w:p>
        </w:tc>
      </w:tr>
      <w:tr w:rsidR="00A953F1" w:rsidRPr="00A953F1" w:rsidTr="00A953F1">
        <w:trPr>
          <w:trHeight w:val="630"/>
        </w:trPr>
        <w:tc>
          <w:tcPr>
            <w:tcW w:w="196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A953F1">
              <w:rPr>
                <w:rFonts w:ascii="Times New Roman" w:eastAsia="Times New Roman" w:hAnsi="Times New Roman" w:cs="Times New Roman"/>
                <w:lang w:eastAsia="uk-UA"/>
              </w:rPr>
              <w:t>Показники</w:t>
            </w:r>
          </w:p>
        </w:tc>
        <w:tc>
          <w:tcPr>
            <w:tcW w:w="155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A953F1">
              <w:rPr>
                <w:rFonts w:ascii="Times New Roman" w:eastAsia="Times New Roman" w:hAnsi="Times New Roman" w:cs="Times New Roman"/>
                <w:lang w:eastAsia="uk-UA"/>
              </w:rPr>
              <w:t>Попередній період (2020 рік)</w:t>
            </w:r>
          </w:p>
        </w:tc>
        <w:tc>
          <w:tcPr>
            <w:tcW w:w="148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A953F1">
              <w:rPr>
                <w:rFonts w:ascii="Times New Roman" w:eastAsia="Times New Roman" w:hAnsi="Times New Roman" w:cs="Times New Roman"/>
                <w:lang w:eastAsia="uk-UA"/>
              </w:rPr>
              <w:t>Звітний період (2021 рік)</w:t>
            </w:r>
          </w:p>
        </w:tc>
      </w:tr>
      <w:tr w:rsidR="00A953F1" w:rsidRPr="00A953F1" w:rsidTr="00A953F1">
        <w:trPr>
          <w:trHeight w:val="450"/>
        </w:trPr>
        <w:tc>
          <w:tcPr>
            <w:tcW w:w="196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A953F1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Затверджено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A953F1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Виконано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A953F1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Виконання плану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A953F1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Затверджено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A953F1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Виконано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A953F1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Виконання плану</w:t>
            </w:r>
          </w:p>
        </w:tc>
      </w:tr>
      <w:tr w:rsidR="00A953F1" w:rsidRPr="00A953F1" w:rsidTr="00A953F1">
        <w:trPr>
          <w:trHeight w:val="300"/>
        </w:trPr>
        <w:tc>
          <w:tcPr>
            <w:tcW w:w="1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A953F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Показники ефективності: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A953F1">
              <w:rPr>
                <w:rFonts w:ascii="Times New Roman" w:eastAsia="Times New Roman" w:hAnsi="Times New Roman" w:cs="Times New Roman"/>
                <w:lang w:eastAsia="uk-UA"/>
              </w:rPr>
              <w:t>x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A953F1">
              <w:rPr>
                <w:rFonts w:ascii="Times New Roman" w:eastAsia="Times New Roman" w:hAnsi="Times New Roman" w:cs="Times New Roman"/>
                <w:lang w:eastAsia="uk-UA"/>
              </w:rPr>
              <w:t>x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A953F1">
              <w:rPr>
                <w:rFonts w:ascii="Times New Roman" w:eastAsia="Times New Roman" w:hAnsi="Times New Roman" w:cs="Times New Roman"/>
                <w:lang w:eastAsia="uk-UA"/>
              </w:rPr>
              <w:t>x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A953F1">
              <w:rPr>
                <w:rFonts w:ascii="Times New Roman" w:eastAsia="Times New Roman" w:hAnsi="Times New Roman" w:cs="Times New Roman"/>
                <w:lang w:eastAsia="uk-UA"/>
              </w:rPr>
              <w:t>x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A953F1">
              <w:rPr>
                <w:rFonts w:ascii="Times New Roman" w:eastAsia="Times New Roman" w:hAnsi="Times New Roman" w:cs="Times New Roman"/>
                <w:lang w:eastAsia="uk-UA"/>
              </w:rPr>
              <w:t>x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A953F1">
              <w:rPr>
                <w:rFonts w:ascii="Times New Roman" w:eastAsia="Times New Roman" w:hAnsi="Times New Roman" w:cs="Times New Roman"/>
                <w:lang w:eastAsia="uk-UA"/>
              </w:rPr>
              <w:t>x</w:t>
            </w:r>
          </w:p>
        </w:tc>
      </w:tr>
      <w:tr w:rsidR="00A953F1" w:rsidRPr="00A953F1" w:rsidTr="00A953F1">
        <w:trPr>
          <w:trHeight w:val="300"/>
        </w:trPr>
        <w:tc>
          <w:tcPr>
            <w:tcW w:w="1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uk-UA"/>
              </w:rPr>
            </w:pPr>
            <w:r w:rsidRPr="00A953F1">
              <w:rPr>
                <w:rFonts w:ascii="Times New Roman" w:eastAsia="Times New Roman" w:hAnsi="Times New Roman" w:cs="Times New Roman"/>
                <w:lang w:eastAsia="uk-UA"/>
              </w:rPr>
              <w:t>Середні витрати на 1 кв. м виставкової площі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A953F1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A953F1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A953F1">
              <w:rPr>
                <w:rFonts w:ascii="Times New Roman" w:eastAsia="Times New Roman" w:hAnsi="Times New Roman" w:cs="Times New Roman"/>
                <w:lang w:eastAsia="uk-UA"/>
              </w:rPr>
              <w:t>-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A953F1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A953F1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A953F1">
              <w:rPr>
                <w:rFonts w:ascii="Times New Roman" w:eastAsia="Times New Roman" w:hAnsi="Times New Roman" w:cs="Times New Roman"/>
                <w:lang w:eastAsia="uk-UA"/>
              </w:rPr>
              <w:t>-</w:t>
            </w:r>
          </w:p>
        </w:tc>
      </w:tr>
      <w:tr w:rsidR="00A953F1" w:rsidRPr="00A953F1" w:rsidTr="00A953F1">
        <w:trPr>
          <w:trHeight w:val="300"/>
        </w:trPr>
        <w:tc>
          <w:tcPr>
            <w:tcW w:w="1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53F1" w:rsidRPr="00A953F1" w:rsidRDefault="00A953F1" w:rsidP="00A95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A95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Середня вартість одного квитка, </w:t>
            </w:r>
            <w:r w:rsidRPr="00A953F1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uk-UA"/>
              </w:rPr>
              <w:t>грн.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A953F1">
              <w:rPr>
                <w:rFonts w:ascii="Times New Roman" w:eastAsia="Times New Roman" w:hAnsi="Times New Roman" w:cs="Times New Roman"/>
                <w:lang w:eastAsia="uk-UA"/>
              </w:rPr>
              <w:t>22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A953F1">
              <w:rPr>
                <w:rFonts w:ascii="Times New Roman" w:eastAsia="Times New Roman" w:hAnsi="Times New Roman" w:cs="Times New Roman"/>
                <w:lang w:eastAsia="uk-UA"/>
              </w:rPr>
              <w:t>22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A953F1">
              <w:rPr>
                <w:rFonts w:ascii="Times New Roman" w:eastAsia="Times New Roman" w:hAnsi="Times New Roman" w:cs="Times New Roman"/>
                <w:lang w:eastAsia="uk-UA"/>
              </w:rPr>
              <w:t>1.000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A953F1">
              <w:rPr>
                <w:rFonts w:ascii="Times New Roman" w:eastAsia="Times New Roman" w:hAnsi="Times New Roman" w:cs="Times New Roman"/>
                <w:lang w:eastAsia="uk-UA"/>
              </w:rPr>
              <w:t>12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A953F1">
              <w:rPr>
                <w:rFonts w:ascii="Times New Roman" w:eastAsia="Times New Roman" w:hAnsi="Times New Roman" w:cs="Times New Roman"/>
                <w:lang w:eastAsia="uk-UA"/>
              </w:rPr>
              <w:t>9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A953F1">
              <w:rPr>
                <w:rFonts w:ascii="Times New Roman" w:eastAsia="Times New Roman" w:hAnsi="Times New Roman" w:cs="Times New Roman"/>
                <w:lang w:eastAsia="uk-UA"/>
              </w:rPr>
              <w:t>0.750</w:t>
            </w:r>
          </w:p>
        </w:tc>
      </w:tr>
      <w:tr w:rsidR="00A953F1" w:rsidRPr="00A953F1" w:rsidTr="00A953F1">
        <w:trPr>
          <w:trHeight w:val="300"/>
        </w:trPr>
        <w:tc>
          <w:tcPr>
            <w:tcW w:w="1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53F1" w:rsidRPr="00A953F1" w:rsidRDefault="00A953F1" w:rsidP="00A95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A95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Середні витрати на одного відвідувача,</w:t>
            </w:r>
            <w:r w:rsidRPr="00A953F1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uk-UA"/>
              </w:rPr>
              <w:t xml:space="preserve"> грн.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A953F1">
              <w:rPr>
                <w:rFonts w:ascii="Times New Roman" w:eastAsia="Times New Roman" w:hAnsi="Times New Roman" w:cs="Times New Roman"/>
                <w:lang w:eastAsia="uk-UA"/>
              </w:rPr>
              <w:t>4447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A953F1">
              <w:rPr>
                <w:rFonts w:ascii="Times New Roman" w:eastAsia="Times New Roman" w:hAnsi="Times New Roman" w:cs="Times New Roman"/>
                <w:lang w:eastAsia="uk-UA"/>
              </w:rPr>
              <w:t>3556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A953F1">
              <w:rPr>
                <w:rFonts w:ascii="Times New Roman" w:eastAsia="Times New Roman" w:hAnsi="Times New Roman" w:cs="Times New Roman"/>
                <w:lang w:eastAsia="uk-UA"/>
              </w:rPr>
              <w:t>1.251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A953F1">
              <w:rPr>
                <w:rFonts w:ascii="Times New Roman" w:eastAsia="Times New Roman" w:hAnsi="Times New Roman" w:cs="Times New Roman"/>
                <w:lang w:eastAsia="uk-UA"/>
              </w:rPr>
              <w:t>599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A953F1">
              <w:rPr>
                <w:rFonts w:ascii="Times New Roman" w:eastAsia="Times New Roman" w:hAnsi="Times New Roman" w:cs="Times New Roman"/>
                <w:lang w:eastAsia="uk-UA"/>
              </w:rPr>
              <w:t>481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A953F1">
              <w:rPr>
                <w:rFonts w:ascii="Times New Roman" w:eastAsia="Times New Roman" w:hAnsi="Times New Roman" w:cs="Times New Roman"/>
                <w:lang w:eastAsia="uk-UA"/>
              </w:rPr>
              <w:t>1.245</w:t>
            </w:r>
          </w:p>
        </w:tc>
      </w:tr>
      <w:tr w:rsidR="00A953F1" w:rsidRPr="00A953F1" w:rsidTr="00A953F1">
        <w:trPr>
          <w:trHeight w:val="510"/>
        </w:trPr>
        <w:tc>
          <w:tcPr>
            <w:tcW w:w="1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A953F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Середня вартість одиниці предметів довгострокового користування, </w:t>
            </w:r>
            <w:r w:rsidRPr="00A953F1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uk-UA"/>
              </w:rPr>
              <w:t>тис. грн.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A953F1">
              <w:rPr>
                <w:rFonts w:ascii="Times New Roman" w:eastAsia="Times New Roman" w:hAnsi="Times New Roman" w:cs="Times New Roman"/>
                <w:lang w:eastAsia="uk-UA"/>
              </w:rPr>
              <w:t>13.0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A953F1">
              <w:rPr>
                <w:rFonts w:ascii="Times New Roman" w:eastAsia="Times New Roman" w:hAnsi="Times New Roman" w:cs="Times New Roman"/>
                <w:lang w:eastAsia="uk-UA"/>
              </w:rPr>
              <w:t>13.0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A953F1">
              <w:rPr>
                <w:rFonts w:ascii="Times New Roman" w:eastAsia="Times New Roman" w:hAnsi="Times New Roman" w:cs="Times New Roman"/>
                <w:lang w:eastAsia="uk-UA"/>
              </w:rPr>
              <w:t>1.000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A953F1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A953F1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A953F1">
              <w:rPr>
                <w:rFonts w:ascii="Times New Roman" w:eastAsia="Times New Roman" w:hAnsi="Times New Roman" w:cs="Times New Roman"/>
                <w:lang w:eastAsia="uk-UA"/>
              </w:rPr>
              <w:t>-</w:t>
            </w:r>
          </w:p>
        </w:tc>
      </w:tr>
      <w:tr w:rsidR="00A953F1" w:rsidRPr="00A953F1" w:rsidTr="00A953F1">
        <w:trPr>
          <w:trHeight w:val="300"/>
        </w:trPr>
        <w:tc>
          <w:tcPr>
            <w:tcW w:w="196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00"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A953F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Показники якості</w:t>
            </w:r>
          </w:p>
        </w:tc>
        <w:tc>
          <w:tcPr>
            <w:tcW w:w="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A953F1">
              <w:rPr>
                <w:rFonts w:ascii="Times New Roman" w:eastAsia="Times New Roman" w:hAnsi="Times New Roman" w:cs="Times New Roman"/>
                <w:lang w:eastAsia="uk-UA"/>
              </w:rPr>
              <w:t>x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A953F1">
              <w:rPr>
                <w:rFonts w:ascii="Times New Roman" w:eastAsia="Times New Roman" w:hAnsi="Times New Roman" w:cs="Times New Roman"/>
                <w:lang w:eastAsia="uk-UA"/>
              </w:rPr>
              <w:t>x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A953F1">
              <w:rPr>
                <w:rFonts w:ascii="Times New Roman" w:eastAsia="Times New Roman" w:hAnsi="Times New Roman" w:cs="Times New Roman"/>
                <w:lang w:eastAsia="uk-UA"/>
              </w:rPr>
              <w:t>x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A953F1">
              <w:rPr>
                <w:rFonts w:ascii="Times New Roman" w:eastAsia="Times New Roman" w:hAnsi="Times New Roman" w:cs="Times New Roman"/>
                <w:lang w:eastAsia="uk-UA"/>
              </w:rPr>
              <w:t>x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A953F1">
              <w:rPr>
                <w:rFonts w:ascii="Times New Roman" w:eastAsia="Times New Roman" w:hAnsi="Times New Roman" w:cs="Times New Roman"/>
                <w:lang w:eastAsia="uk-UA"/>
              </w:rPr>
              <w:t>x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A953F1">
              <w:rPr>
                <w:rFonts w:ascii="Times New Roman" w:eastAsia="Times New Roman" w:hAnsi="Times New Roman" w:cs="Times New Roman"/>
                <w:lang w:eastAsia="uk-UA"/>
              </w:rPr>
              <w:t>x</w:t>
            </w:r>
          </w:p>
        </w:tc>
      </w:tr>
      <w:tr w:rsidR="00A953F1" w:rsidRPr="00A953F1" w:rsidTr="00A953F1">
        <w:trPr>
          <w:trHeight w:val="810"/>
        </w:trPr>
        <w:tc>
          <w:tcPr>
            <w:tcW w:w="1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53F1" w:rsidRPr="00A953F1" w:rsidRDefault="00A953F1" w:rsidP="00A95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A95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динаміка збільшення виставок у плановому періоді відповідно до фактичного показника попереднього періоду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A953F1">
              <w:rPr>
                <w:rFonts w:ascii="Times New Roman" w:eastAsia="Times New Roman" w:hAnsi="Times New Roman" w:cs="Times New Roman"/>
                <w:lang w:eastAsia="uk-UA"/>
              </w:rPr>
              <w:t>100.0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A953F1">
              <w:rPr>
                <w:rFonts w:ascii="Times New Roman" w:eastAsia="Times New Roman" w:hAnsi="Times New Roman" w:cs="Times New Roman"/>
                <w:lang w:eastAsia="uk-UA"/>
              </w:rPr>
              <w:t>53.3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A953F1">
              <w:rPr>
                <w:rFonts w:ascii="Times New Roman" w:eastAsia="Times New Roman" w:hAnsi="Times New Roman" w:cs="Times New Roman"/>
                <w:lang w:eastAsia="uk-UA"/>
              </w:rPr>
              <w:t>0.533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A953F1">
              <w:rPr>
                <w:rFonts w:ascii="Times New Roman" w:eastAsia="Times New Roman" w:hAnsi="Times New Roman" w:cs="Times New Roman"/>
                <w:lang w:eastAsia="uk-UA"/>
              </w:rPr>
              <w:t>156.0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A953F1">
              <w:rPr>
                <w:rFonts w:ascii="Times New Roman" w:eastAsia="Times New Roman" w:hAnsi="Times New Roman" w:cs="Times New Roman"/>
                <w:lang w:eastAsia="uk-UA"/>
              </w:rPr>
              <w:t>144.0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A953F1">
              <w:rPr>
                <w:rFonts w:ascii="Times New Roman" w:eastAsia="Times New Roman" w:hAnsi="Times New Roman" w:cs="Times New Roman"/>
                <w:lang w:eastAsia="uk-UA"/>
              </w:rPr>
              <w:t>0.923</w:t>
            </w:r>
          </w:p>
        </w:tc>
      </w:tr>
      <w:tr w:rsidR="00A953F1" w:rsidRPr="00A953F1" w:rsidTr="00A953F1">
        <w:trPr>
          <w:trHeight w:val="765"/>
        </w:trPr>
        <w:tc>
          <w:tcPr>
            <w:tcW w:w="1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A953F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Динаміка збільшення задіяних виставкових  площ у плановому періоді відповідно до фактичного показника попереднього періоду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A953F1">
              <w:rPr>
                <w:rFonts w:ascii="Times New Roman" w:eastAsia="Times New Roman" w:hAnsi="Times New Roman" w:cs="Times New Roman"/>
                <w:lang w:eastAsia="uk-UA"/>
              </w:rPr>
              <w:t>100.0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A953F1">
              <w:rPr>
                <w:rFonts w:ascii="Times New Roman" w:eastAsia="Times New Roman" w:hAnsi="Times New Roman" w:cs="Times New Roman"/>
                <w:lang w:eastAsia="uk-UA"/>
              </w:rPr>
              <w:t>100.0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A953F1">
              <w:rPr>
                <w:rFonts w:ascii="Times New Roman" w:eastAsia="Times New Roman" w:hAnsi="Times New Roman" w:cs="Times New Roman"/>
                <w:lang w:eastAsia="uk-UA"/>
              </w:rPr>
              <w:t>1.000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A953F1">
              <w:rPr>
                <w:rFonts w:ascii="Times New Roman" w:eastAsia="Times New Roman" w:hAnsi="Times New Roman" w:cs="Times New Roman"/>
                <w:lang w:eastAsia="uk-UA"/>
              </w:rPr>
              <w:t>100.0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A953F1">
              <w:rPr>
                <w:rFonts w:ascii="Times New Roman" w:eastAsia="Times New Roman" w:hAnsi="Times New Roman" w:cs="Times New Roman"/>
                <w:lang w:eastAsia="uk-UA"/>
              </w:rPr>
              <w:t>100.0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A953F1">
              <w:rPr>
                <w:rFonts w:ascii="Times New Roman" w:eastAsia="Times New Roman" w:hAnsi="Times New Roman" w:cs="Times New Roman"/>
                <w:lang w:eastAsia="uk-UA"/>
              </w:rPr>
              <w:t>1.000</w:t>
            </w:r>
          </w:p>
        </w:tc>
      </w:tr>
      <w:tr w:rsidR="00A953F1" w:rsidRPr="00A953F1" w:rsidTr="00A953F1">
        <w:trPr>
          <w:trHeight w:val="765"/>
        </w:trPr>
        <w:tc>
          <w:tcPr>
            <w:tcW w:w="1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53F1" w:rsidRPr="00A953F1" w:rsidRDefault="00A953F1" w:rsidP="00A95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A95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Динаміка збільшення відвідувачів у плановому періоді відповідно до фактичного показника попереднього періоду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A953F1">
              <w:rPr>
                <w:rFonts w:ascii="Times New Roman" w:eastAsia="Times New Roman" w:hAnsi="Times New Roman" w:cs="Times New Roman"/>
                <w:lang w:eastAsia="uk-UA"/>
              </w:rPr>
              <w:t>11.5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A953F1">
              <w:rPr>
                <w:rFonts w:ascii="Times New Roman" w:eastAsia="Times New Roman" w:hAnsi="Times New Roman" w:cs="Times New Roman"/>
                <w:lang w:eastAsia="uk-UA"/>
              </w:rPr>
              <w:t>14.3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A953F1">
              <w:rPr>
                <w:rFonts w:ascii="Times New Roman" w:eastAsia="Times New Roman" w:hAnsi="Times New Roman" w:cs="Times New Roman"/>
                <w:lang w:eastAsia="uk-UA"/>
              </w:rPr>
              <w:t>1.245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A953F1">
              <w:rPr>
                <w:rFonts w:ascii="Times New Roman" w:eastAsia="Times New Roman" w:hAnsi="Times New Roman" w:cs="Times New Roman"/>
                <w:lang w:eastAsia="uk-UA"/>
              </w:rPr>
              <w:t>485.0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A953F1">
              <w:rPr>
                <w:rFonts w:ascii="Times New Roman" w:eastAsia="Times New Roman" w:hAnsi="Times New Roman" w:cs="Times New Roman"/>
                <w:lang w:eastAsia="uk-UA"/>
              </w:rPr>
              <w:t>596.0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A953F1">
              <w:rPr>
                <w:rFonts w:ascii="Times New Roman" w:eastAsia="Times New Roman" w:hAnsi="Times New Roman" w:cs="Times New Roman"/>
                <w:lang w:eastAsia="uk-UA"/>
              </w:rPr>
              <w:t>1.229</w:t>
            </w:r>
          </w:p>
        </w:tc>
      </w:tr>
      <w:tr w:rsidR="00A953F1" w:rsidRPr="00A953F1" w:rsidTr="00A953F1">
        <w:trPr>
          <w:trHeight w:val="510"/>
        </w:trPr>
        <w:tc>
          <w:tcPr>
            <w:tcW w:w="1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53F1" w:rsidRPr="00A953F1" w:rsidRDefault="00A953F1" w:rsidP="00A95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A95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Відсоток  предметів, які експонувались, у загальній кількості експонатів музейного фонду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A953F1">
              <w:rPr>
                <w:rFonts w:ascii="Times New Roman" w:eastAsia="Times New Roman" w:hAnsi="Times New Roman" w:cs="Times New Roman"/>
                <w:lang w:eastAsia="uk-UA"/>
              </w:rPr>
              <w:t>52.3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A953F1">
              <w:rPr>
                <w:rFonts w:ascii="Times New Roman" w:eastAsia="Times New Roman" w:hAnsi="Times New Roman" w:cs="Times New Roman"/>
                <w:lang w:eastAsia="uk-UA"/>
              </w:rPr>
              <w:t>52.3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A953F1">
              <w:rPr>
                <w:rFonts w:ascii="Times New Roman" w:eastAsia="Times New Roman" w:hAnsi="Times New Roman" w:cs="Times New Roman"/>
                <w:lang w:eastAsia="uk-UA"/>
              </w:rPr>
              <w:t>1.000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A953F1">
              <w:rPr>
                <w:rFonts w:ascii="Times New Roman" w:eastAsia="Times New Roman" w:hAnsi="Times New Roman" w:cs="Times New Roman"/>
                <w:lang w:eastAsia="uk-UA"/>
              </w:rPr>
              <w:t>6.0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A953F1">
              <w:rPr>
                <w:rFonts w:ascii="Times New Roman" w:eastAsia="Times New Roman" w:hAnsi="Times New Roman" w:cs="Times New Roman"/>
                <w:lang w:eastAsia="uk-UA"/>
              </w:rPr>
              <w:t>6.0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A953F1">
              <w:rPr>
                <w:rFonts w:ascii="Times New Roman" w:eastAsia="Times New Roman" w:hAnsi="Times New Roman" w:cs="Times New Roman"/>
                <w:lang w:eastAsia="uk-UA"/>
              </w:rPr>
              <w:t>1.000</w:t>
            </w:r>
          </w:p>
        </w:tc>
      </w:tr>
      <w:tr w:rsidR="00A953F1" w:rsidRPr="00A953F1" w:rsidTr="00A953F1">
        <w:trPr>
          <w:trHeight w:val="510"/>
        </w:trPr>
        <w:tc>
          <w:tcPr>
            <w:tcW w:w="1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53F1" w:rsidRPr="00A953F1" w:rsidRDefault="00A953F1" w:rsidP="00A95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A953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Відсоток виконання плану з придбання предметів довгострокового використання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A953F1">
              <w:rPr>
                <w:rFonts w:ascii="Times New Roman" w:eastAsia="Times New Roman" w:hAnsi="Times New Roman" w:cs="Times New Roman"/>
                <w:lang w:eastAsia="uk-UA"/>
              </w:rPr>
              <w:t>100.0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A953F1">
              <w:rPr>
                <w:rFonts w:ascii="Times New Roman" w:eastAsia="Times New Roman" w:hAnsi="Times New Roman" w:cs="Times New Roman"/>
                <w:lang w:eastAsia="uk-UA"/>
              </w:rPr>
              <w:t>100.0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A953F1">
              <w:rPr>
                <w:rFonts w:ascii="Times New Roman" w:eastAsia="Times New Roman" w:hAnsi="Times New Roman" w:cs="Times New Roman"/>
                <w:lang w:eastAsia="uk-UA"/>
              </w:rPr>
              <w:t>1.000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A953F1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A953F1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A953F1">
              <w:rPr>
                <w:rFonts w:ascii="Times New Roman" w:eastAsia="Times New Roman" w:hAnsi="Times New Roman" w:cs="Times New Roman"/>
                <w:lang w:eastAsia="uk-UA"/>
              </w:rPr>
              <w:t>-</w:t>
            </w:r>
          </w:p>
        </w:tc>
      </w:tr>
      <w:tr w:rsidR="00A953F1" w:rsidRPr="00A953F1" w:rsidTr="00A953F1">
        <w:trPr>
          <w:trHeight w:val="570"/>
        </w:trPr>
        <w:tc>
          <w:tcPr>
            <w:tcW w:w="5000" w:type="pct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A953F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Розрахунок основних параметрів оцінки:</w:t>
            </w:r>
          </w:p>
        </w:tc>
      </w:tr>
      <w:tr w:rsidR="00A953F1" w:rsidRPr="00A953F1" w:rsidTr="00A953F1">
        <w:trPr>
          <w:trHeight w:val="570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A953F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а)</w:t>
            </w:r>
            <w:r w:rsidRPr="00A953F1">
              <w:rPr>
                <w:rFonts w:ascii="Times New Roman" w:eastAsia="Times New Roman" w:hAnsi="Times New Roman" w:cs="Times New Roman"/>
                <w:lang w:eastAsia="uk-UA"/>
              </w:rPr>
              <w:t xml:space="preserve"> розрахунок середнього індексу виконання показників ефективності звітного періоду:</w:t>
            </w:r>
          </w:p>
        </w:tc>
      </w:tr>
      <w:tr w:rsidR="00A953F1" w:rsidRPr="00A953F1" w:rsidTr="00A953F1">
        <w:trPr>
          <w:trHeight w:val="900"/>
        </w:trPr>
        <w:tc>
          <w:tcPr>
            <w:tcW w:w="19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A953F1">
              <w:rPr>
                <w:rFonts w:ascii="Times New Roman" w:eastAsia="Times New Roman" w:hAnsi="Times New Roman" w:cs="Times New Roman"/>
                <w:lang w:eastAsia="uk-UA"/>
              </w:rPr>
              <w:t>І</w:t>
            </w:r>
            <w:r w:rsidRPr="00A953F1">
              <w:rPr>
                <w:rFonts w:ascii="Times New Roman" w:eastAsia="Times New Roman" w:hAnsi="Times New Roman" w:cs="Times New Roman"/>
                <w:vertAlign w:val="subscript"/>
                <w:lang w:eastAsia="uk-UA"/>
              </w:rPr>
              <w:t>(еф)</w:t>
            </w:r>
            <w:r w:rsidRPr="00A953F1">
              <w:rPr>
                <w:rFonts w:ascii="Times New Roman" w:eastAsia="Times New Roman" w:hAnsi="Times New Roman" w:cs="Times New Roman"/>
                <w:lang w:eastAsia="uk-UA"/>
              </w:rPr>
              <w:t>= (0.750+1.245):2*100 =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000000" w:fill="DDD9C4"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A953F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99.8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03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uk-UA"/>
              </w:rPr>
            </w:pPr>
          </w:p>
        </w:tc>
      </w:tr>
      <w:tr w:rsidR="00A953F1" w:rsidRPr="00A953F1" w:rsidTr="00A953F1">
        <w:trPr>
          <w:trHeight w:val="383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A953F1">
              <w:rPr>
                <w:rFonts w:ascii="Times New Roman" w:eastAsia="Times New Roman" w:hAnsi="Times New Roman" w:cs="Times New Roman"/>
                <w:lang w:eastAsia="uk-UA"/>
              </w:rPr>
              <w:t>розрахунок середнього індексу виконання показників ефективності попереднього періоду:</w:t>
            </w:r>
          </w:p>
        </w:tc>
      </w:tr>
      <w:tr w:rsidR="00A953F1" w:rsidRPr="00A953F1" w:rsidTr="00A953F1">
        <w:trPr>
          <w:trHeight w:val="855"/>
        </w:trPr>
        <w:tc>
          <w:tcPr>
            <w:tcW w:w="19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A953F1">
              <w:rPr>
                <w:rFonts w:ascii="Times New Roman" w:eastAsia="Times New Roman" w:hAnsi="Times New Roman" w:cs="Times New Roman"/>
                <w:lang w:eastAsia="uk-UA"/>
              </w:rPr>
              <w:t>І</w:t>
            </w:r>
            <w:r w:rsidRPr="00A953F1">
              <w:rPr>
                <w:rFonts w:ascii="Times New Roman" w:eastAsia="Times New Roman" w:hAnsi="Times New Roman" w:cs="Times New Roman"/>
                <w:vertAlign w:val="subscript"/>
                <w:lang w:eastAsia="uk-UA"/>
              </w:rPr>
              <w:t>(еф)</w:t>
            </w:r>
            <w:r w:rsidRPr="00A953F1">
              <w:rPr>
                <w:rFonts w:ascii="Times New Roman" w:eastAsia="Times New Roman" w:hAnsi="Times New Roman" w:cs="Times New Roman"/>
                <w:lang w:eastAsia="uk-UA"/>
              </w:rPr>
              <w:t>= (1.000+1.251+1,000):3*100 =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A953F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108.4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03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uk-UA"/>
              </w:rPr>
            </w:pPr>
          </w:p>
        </w:tc>
      </w:tr>
      <w:tr w:rsidR="00A953F1" w:rsidRPr="00A953F1" w:rsidTr="00A953F1">
        <w:trPr>
          <w:trHeight w:val="375"/>
        </w:trPr>
        <w:tc>
          <w:tcPr>
            <w:tcW w:w="351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A953F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б)</w:t>
            </w:r>
            <w:r w:rsidRPr="00A953F1">
              <w:rPr>
                <w:rFonts w:ascii="Times New Roman" w:eastAsia="Times New Roman" w:hAnsi="Times New Roman" w:cs="Times New Roman"/>
                <w:lang w:eastAsia="uk-UA"/>
              </w:rPr>
              <w:t xml:space="preserve">  розрахунок середнього індексу виконання показників якості звітного періоду:</w:t>
            </w:r>
          </w:p>
        </w:tc>
        <w:tc>
          <w:tcPr>
            <w:tcW w:w="4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5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</w:tr>
      <w:tr w:rsidR="00A953F1" w:rsidRPr="00A953F1" w:rsidTr="00A953F1">
        <w:trPr>
          <w:trHeight w:val="915"/>
        </w:trPr>
        <w:tc>
          <w:tcPr>
            <w:tcW w:w="19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A953F1">
              <w:rPr>
                <w:rFonts w:ascii="Times New Roman" w:eastAsia="Times New Roman" w:hAnsi="Times New Roman" w:cs="Times New Roman"/>
                <w:lang w:eastAsia="uk-UA"/>
              </w:rPr>
              <w:t>І</w:t>
            </w:r>
            <w:r w:rsidRPr="00A953F1">
              <w:rPr>
                <w:rFonts w:ascii="Times New Roman" w:eastAsia="Times New Roman" w:hAnsi="Times New Roman" w:cs="Times New Roman"/>
                <w:vertAlign w:val="subscript"/>
                <w:lang w:eastAsia="uk-UA"/>
              </w:rPr>
              <w:t>(як)</w:t>
            </w:r>
            <w:r w:rsidRPr="00A953F1">
              <w:rPr>
                <w:rFonts w:ascii="Times New Roman" w:eastAsia="Times New Roman" w:hAnsi="Times New Roman" w:cs="Times New Roman"/>
                <w:lang w:eastAsia="uk-UA"/>
              </w:rPr>
              <w:t>= (0.923+1.000+1.229+1.000):4*100 =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000000" w:fill="DDD9C4"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A953F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103.8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03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uk-UA"/>
              </w:rPr>
            </w:pPr>
          </w:p>
        </w:tc>
      </w:tr>
      <w:tr w:rsidR="00A953F1" w:rsidRPr="00A953F1" w:rsidTr="00A953F1">
        <w:trPr>
          <w:trHeight w:val="465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A953F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в)</w:t>
            </w:r>
            <w:r w:rsidRPr="00A953F1">
              <w:rPr>
                <w:rFonts w:ascii="Times New Roman" w:eastAsia="Times New Roman" w:hAnsi="Times New Roman" w:cs="Times New Roman"/>
                <w:lang w:eastAsia="uk-UA"/>
              </w:rPr>
              <w:t xml:space="preserve"> розрахунок порівняння результативності бюджетної програми із показниками попередніх періодів:</w:t>
            </w:r>
          </w:p>
        </w:tc>
      </w:tr>
      <w:tr w:rsidR="00A953F1" w:rsidRPr="00A953F1" w:rsidTr="00A953F1">
        <w:trPr>
          <w:trHeight w:val="465"/>
        </w:trPr>
        <w:tc>
          <w:tcPr>
            <w:tcW w:w="19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53F1" w:rsidRPr="00A953F1" w:rsidRDefault="00A953F1" w:rsidP="006E5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A953F1">
              <w:rPr>
                <w:rFonts w:ascii="Times New Roman" w:eastAsia="Times New Roman" w:hAnsi="Times New Roman" w:cs="Times New Roman"/>
                <w:lang w:eastAsia="uk-UA"/>
              </w:rPr>
              <w:t>І</w:t>
            </w:r>
            <w:r w:rsidRPr="00A953F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  <w:r w:rsidRPr="00A953F1">
              <w:rPr>
                <w:rFonts w:ascii="Times New Roman" w:eastAsia="Times New Roman" w:hAnsi="Times New Roman" w:cs="Times New Roman"/>
                <w:lang w:eastAsia="uk-UA"/>
              </w:rPr>
              <w:t>=</w:t>
            </w:r>
            <w:r w:rsidR="006E5C2D">
              <w:rPr>
                <w:rFonts w:ascii="Times New Roman" w:eastAsia="Times New Roman" w:hAnsi="Times New Roman" w:cs="Times New Roman"/>
                <w:lang w:eastAsia="uk-UA"/>
              </w:rPr>
              <w:t>99</w:t>
            </w:r>
            <w:r w:rsidRPr="00A953F1">
              <w:rPr>
                <w:rFonts w:ascii="Times New Roman" w:eastAsia="Times New Roman" w:hAnsi="Times New Roman" w:cs="Times New Roman"/>
                <w:lang w:eastAsia="uk-UA"/>
              </w:rPr>
              <w:t>.</w:t>
            </w:r>
            <w:r w:rsidR="006E5C2D">
              <w:rPr>
                <w:rFonts w:ascii="Times New Roman" w:eastAsia="Times New Roman" w:hAnsi="Times New Roman" w:cs="Times New Roman"/>
                <w:lang w:eastAsia="uk-UA"/>
              </w:rPr>
              <w:t>8</w:t>
            </w:r>
            <w:bookmarkStart w:id="1" w:name="_GoBack"/>
            <w:bookmarkEnd w:id="1"/>
            <w:r w:rsidRPr="00A953F1">
              <w:rPr>
                <w:rFonts w:ascii="Times New Roman" w:eastAsia="Times New Roman" w:hAnsi="Times New Roman" w:cs="Times New Roman"/>
                <w:lang w:eastAsia="uk-UA"/>
              </w:rPr>
              <w:t>/108.4 =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A953F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0.92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5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</w:tr>
      <w:tr w:rsidR="00A953F1" w:rsidRPr="00A953F1" w:rsidTr="00A953F1">
        <w:trPr>
          <w:trHeight w:val="630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A953F1">
              <w:rPr>
                <w:rFonts w:ascii="Times New Roman" w:eastAsia="Times New Roman" w:hAnsi="Times New Roman" w:cs="Times New Roman"/>
                <w:lang w:eastAsia="uk-UA"/>
              </w:rPr>
              <w:lastRenderedPageBreak/>
              <w:t xml:space="preserve">Розрахунок кількості набраних балів за параметром порівняння результативності бюджетної програми із показниками попередніх періодів. </w:t>
            </w:r>
          </w:p>
        </w:tc>
      </w:tr>
      <w:tr w:rsidR="00A953F1" w:rsidRPr="00A953F1" w:rsidTr="00A953F1">
        <w:trPr>
          <w:trHeight w:val="435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A953F1">
              <w:rPr>
                <w:rFonts w:ascii="Times New Roman" w:eastAsia="Times New Roman" w:hAnsi="Times New Roman" w:cs="Times New Roman"/>
                <w:lang w:eastAsia="uk-UA"/>
              </w:rPr>
              <w:t xml:space="preserve">Оскільки І1= 0.92, що відповідає критерію оцінки 0,85 ≤ І1 &lt; 1 , то за цим параметром для даної програми нараховується </w:t>
            </w:r>
          </w:p>
        </w:tc>
      </w:tr>
      <w:tr w:rsidR="00A953F1" w:rsidRPr="00A953F1" w:rsidTr="00A953F1">
        <w:trPr>
          <w:trHeight w:val="360"/>
        </w:trPr>
        <w:tc>
          <w:tcPr>
            <w:tcW w:w="19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000000" w:fill="DDD9C4"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A953F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15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A953F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балів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A953F1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A953F1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A953F1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59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A953F1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</w:tr>
      <w:tr w:rsidR="00A953F1" w:rsidRPr="00A953F1" w:rsidTr="00A953F1">
        <w:trPr>
          <w:trHeight w:val="300"/>
        </w:trPr>
        <w:tc>
          <w:tcPr>
            <w:tcW w:w="19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5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</w:tr>
      <w:tr w:rsidR="00A953F1" w:rsidRPr="00A953F1" w:rsidTr="00A953F1">
        <w:trPr>
          <w:trHeight w:val="300"/>
        </w:trPr>
        <w:tc>
          <w:tcPr>
            <w:tcW w:w="19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A953F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Визначення ступеню ефективності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5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</w:tr>
      <w:tr w:rsidR="00A953F1" w:rsidRPr="00A953F1" w:rsidTr="00A953F1">
        <w:trPr>
          <w:trHeight w:val="615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A953F1">
              <w:rPr>
                <w:rFonts w:ascii="Times New Roman" w:eastAsia="Times New Roman" w:hAnsi="Times New Roman" w:cs="Times New Roman"/>
                <w:lang w:eastAsia="uk-UA"/>
              </w:rPr>
              <w:t>Кінцевий розрахунок загальної ефективності бюджетної програми складається із загальної суми балів за кожним з параметром оцінки:</w:t>
            </w:r>
          </w:p>
        </w:tc>
      </w:tr>
      <w:tr w:rsidR="00A953F1" w:rsidRPr="00A953F1" w:rsidTr="00A953F1">
        <w:trPr>
          <w:trHeight w:val="1770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A953F1">
              <w:rPr>
                <w:rFonts w:ascii="Times New Roman" w:eastAsia="Times New Roman" w:hAnsi="Times New Roman" w:cs="Times New Roman"/>
                <w:lang w:eastAsia="uk-UA"/>
              </w:rPr>
              <w:t xml:space="preserve">Для  бюджетних  програм  (окремих завдань програми), які  не  містять  групи  результативних  показників  ефективності  або  якості, та  бюджетних програм, для яких немає даних за попередні </w:t>
            </w:r>
            <w:proofErr w:type="spellStart"/>
            <w:r w:rsidRPr="00A953F1">
              <w:rPr>
                <w:rFonts w:ascii="Times New Roman" w:eastAsia="Times New Roman" w:hAnsi="Times New Roman" w:cs="Times New Roman"/>
                <w:lang w:eastAsia="uk-UA"/>
              </w:rPr>
              <w:t>бюджетниі</w:t>
            </w:r>
            <w:proofErr w:type="spellEnd"/>
            <w:r w:rsidRPr="00A953F1">
              <w:rPr>
                <w:rFonts w:ascii="Times New Roman" w:eastAsia="Times New Roman" w:hAnsi="Times New Roman" w:cs="Times New Roman"/>
                <w:lang w:eastAsia="uk-UA"/>
              </w:rPr>
              <w:t xml:space="preserve"> періоди, загальна  шкала  аналізу  ефективності програми повинна  коригуватися.</w:t>
            </w:r>
            <w:r w:rsidRPr="00A953F1">
              <w:rPr>
                <w:rFonts w:ascii="Times New Roman" w:eastAsia="Times New Roman" w:hAnsi="Times New Roman" w:cs="Times New Roman"/>
                <w:lang w:eastAsia="uk-UA"/>
              </w:rPr>
              <w:br/>
              <w:t>Відсутність даних  для розрахунку кожного з параметрів оцінки зменшує відповідне значення  шкали ефективності програми на 100 балів(для І(еф), І(як))  або  на 25 балів(для І</w:t>
            </w:r>
            <w:r w:rsidRPr="00A953F1">
              <w:rPr>
                <w:rFonts w:ascii="Times New Roman" w:eastAsia="Times New Roman" w:hAnsi="Times New Roman" w:cs="Times New Roman"/>
                <w:vertAlign w:val="subscript"/>
                <w:lang w:eastAsia="uk-UA"/>
              </w:rPr>
              <w:t>1</w:t>
            </w:r>
            <w:r w:rsidRPr="00A953F1">
              <w:rPr>
                <w:rFonts w:ascii="Times New Roman" w:eastAsia="Times New Roman" w:hAnsi="Times New Roman" w:cs="Times New Roman"/>
                <w:lang w:eastAsia="uk-UA"/>
              </w:rPr>
              <w:t>).</w:t>
            </w:r>
          </w:p>
        </w:tc>
      </w:tr>
      <w:tr w:rsidR="00A953F1" w:rsidRPr="00A953F1" w:rsidTr="00A953F1">
        <w:trPr>
          <w:trHeight w:val="855"/>
        </w:trPr>
        <w:tc>
          <w:tcPr>
            <w:tcW w:w="19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A953F1">
              <w:rPr>
                <w:rFonts w:ascii="Times New Roman" w:eastAsia="Times New Roman" w:hAnsi="Times New Roman" w:cs="Times New Roman"/>
                <w:lang w:eastAsia="uk-UA"/>
              </w:rPr>
              <w:t>Е =  І(еф) +  І(як) + І1 =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A953F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218.6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203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uk-UA"/>
              </w:rPr>
            </w:pPr>
          </w:p>
        </w:tc>
      </w:tr>
      <w:tr w:rsidR="00A953F1" w:rsidRPr="00A953F1" w:rsidTr="00A953F1">
        <w:trPr>
          <w:trHeight w:val="630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A953F1">
              <w:rPr>
                <w:rFonts w:ascii="Times New Roman" w:eastAsia="Times New Roman" w:hAnsi="Times New Roman" w:cs="Times New Roman"/>
                <w:lang w:eastAsia="uk-UA"/>
              </w:rPr>
              <w:t xml:space="preserve">При порівнянні отриманого значення зі шкалою оцінки ефективності бюджетних програм можемо зробити висновок, що дана програма має </w:t>
            </w:r>
            <w:r w:rsidRPr="00A953F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 xml:space="preserve"> </w:t>
            </w:r>
          </w:p>
        </w:tc>
      </w:tr>
      <w:tr w:rsidR="00A953F1" w:rsidRPr="00A953F1" w:rsidTr="00A953F1">
        <w:trPr>
          <w:trHeight w:val="300"/>
        </w:trPr>
        <w:tc>
          <w:tcPr>
            <w:tcW w:w="19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A953F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високу</w:t>
            </w:r>
          </w:p>
        </w:tc>
        <w:tc>
          <w:tcPr>
            <w:tcW w:w="99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A953F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ефективність.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</w:p>
        </w:tc>
        <w:tc>
          <w:tcPr>
            <w:tcW w:w="5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</w:p>
        </w:tc>
      </w:tr>
    </w:tbl>
    <w:p w:rsidR="00317809" w:rsidRDefault="00317809"/>
    <w:p w:rsidR="00A953F1" w:rsidRDefault="00A953F1"/>
    <w:p w:rsidR="00A953F1" w:rsidRDefault="00A953F1"/>
    <w:p w:rsidR="00A953F1" w:rsidRDefault="00A953F1"/>
    <w:p w:rsidR="00A953F1" w:rsidRDefault="00A953F1"/>
    <w:p w:rsidR="00A953F1" w:rsidRDefault="00A953F1"/>
    <w:p w:rsidR="00A953F1" w:rsidRDefault="00A953F1"/>
    <w:p w:rsidR="00A953F1" w:rsidRDefault="00A953F1"/>
    <w:p w:rsidR="00A953F1" w:rsidRDefault="00A953F1"/>
    <w:p w:rsidR="00A953F1" w:rsidRDefault="00A953F1"/>
    <w:p w:rsidR="00A953F1" w:rsidRDefault="00A953F1"/>
    <w:p w:rsidR="00A953F1" w:rsidRDefault="00A953F1"/>
    <w:p w:rsidR="00A953F1" w:rsidRDefault="00A953F1"/>
    <w:p w:rsidR="00A953F1" w:rsidRDefault="00A953F1"/>
    <w:p w:rsidR="00A953F1" w:rsidRDefault="00A953F1"/>
    <w:p w:rsidR="00A953F1" w:rsidRDefault="00A953F1"/>
    <w:p w:rsidR="00A953F1" w:rsidRDefault="00A953F1"/>
    <w:p w:rsidR="00A953F1" w:rsidRDefault="00A953F1"/>
    <w:p w:rsidR="00A953F1" w:rsidRDefault="00A953F1"/>
    <w:tbl>
      <w:tblPr>
        <w:tblW w:w="10216" w:type="dxa"/>
        <w:tblInd w:w="108" w:type="dxa"/>
        <w:tblLook w:val="04A0" w:firstRow="1" w:lastRow="0" w:firstColumn="1" w:lastColumn="0" w:noHBand="0" w:noVBand="1"/>
      </w:tblPr>
      <w:tblGrid>
        <w:gridCol w:w="528"/>
        <w:gridCol w:w="1056"/>
        <w:gridCol w:w="4428"/>
        <w:gridCol w:w="1528"/>
        <w:gridCol w:w="1408"/>
        <w:gridCol w:w="1340"/>
      </w:tblGrid>
      <w:tr w:rsidR="00A953F1" w:rsidRPr="00A953F1" w:rsidTr="00A953F1">
        <w:trPr>
          <w:trHeight w:val="255"/>
        </w:trPr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A953F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Додаток1</w:t>
            </w:r>
          </w:p>
        </w:tc>
      </w:tr>
      <w:tr w:rsidR="00A953F1" w:rsidRPr="00A953F1" w:rsidTr="00A953F1">
        <w:trPr>
          <w:trHeight w:val="315"/>
        </w:trPr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968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A953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Результати аналізу ефективності бюджетної програми</w:t>
            </w:r>
          </w:p>
        </w:tc>
      </w:tr>
      <w:tr w:rsidR="00A953F1" w:rsidRPr="00A953F1" w:rsidTr="00A953F1">
        <w:trPr>
          <w:trHeight w:val="315"/>
        </w:trPr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968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A953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станом на 01.01.2022 року</w:t>
            </w:r>
          </w:p>
        </w:tc>
      </w:tr>
      <w:tr w:rsidR="00A953F1" w:rsidRPr="00A953F1" w:rsidTr="00A953F1">
        <w:trPr>
          <w:trHeight w:val="315"/>
        </w:trPr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A953F1" w:rsidRPr="00A953F1" w:rsidTr="00A953F1">
        <w:trPr>
          <w:trHeight w:val="338"/>
        </w:trPr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953F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953F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1000000</w:t>
            </w:r>
          </w:p>
        </w:tc>
        <w:tc>
          <w:tcPr>
            <w:tcW w:w="86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953F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Управління культури і туризму</w:t>
            </w:r>
          </w:p>
        </w:tc>
      </w:tr>
      <w:tr w:rsidR="00A953F1" w:rsidRPr="00A953F1" w:rsidTr="00A953F1">
        <w:trPr>
          <w:trHeight w:val="338"/>
        </w:trPr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A953F1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(КПКВК МБ)</w:t>
            </w:r>
          </w:p>
        </w:tc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A953F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(найменування головного розпорядника)</w:t>
            </w:r>
          </w:p>
        </w:tc>
        <w:tc>
          <w:tcPr>
            <w:tcW w:w="1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A953F1" w:rsidRPr="00A953F1" w:rsidTr="00A953F1">
        <w:trPr>
          <w:trHeight w:val="338"/>
        </w:trPr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953F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2.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953F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1010000</w:t>
            </w:r>
          </w:p>
        </w:tc>
        <w:tc>
          <w:tcPr>
            <w:tcW w:w="86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953F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Управління культури і туризму</w:t>
            </w:r>
          </w:p>
        </w:tc>
      </w:tr>
      <w:tr w:rsidR="00A953F1" w:rsidRPr="00A953F1" w:rsidTr="00A953F1">
        <w:trPr>
          <w:trHeight w:val="338"/>
        </w:trPr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A953F1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(КПКВК МБ)</w:t>
            </w:r>
          </w:p>
        </w:tc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A953F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(найменування головного розпорядника)</w:t>
            </w:r>
          </w:p>
        </w:tc>
        <w:tc>
          <w:tcPr>
            <w:tcW w:w="1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A953F1" w:rsidRPr="00A953F1" w:rsidTr="00A953F1">
        <w:trPr>
          <w:trHeight w:val="600"/>
        </w:trPr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953F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3.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953F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1014040</w:t>
            </w:r>
          </w:p>
        </w:tc>
        <w:tc>
          <w:tcPr>
            <w:tcW w:w="86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953F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Забезпечення  діяльності  музеїв  і  виставок</w:t>
            </w:r>
          </w:p>
        </w:tc>
      </w:tr>
      <w:tr w:rsidR="00A953F1" w:rsidRPr="00A953F1" w:rsidTr="00A953F1">
        <w:trPr>
          <w:trHeight w:val="255"/>
        </w:trPr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A953F1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(КПКВК МБ)</w:t>
            </w:r>
          </w:p>
        </w:tc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A953F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(найменування бюджетної програми)</w:t>
            </w:r>
          </w:p>
        </w:tc>
        <w:tc>
          <w:tcPr>
            <w:tcW w:w="1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A953F1" w:rsidRPr="00A953F1" w:rsidTr="00A953F1">
        <w:trPr>
          <w:trHeight w:val="255"/>
        </w:trPr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A953F1" w:rsidRPr="00A953F1" w:rsidTr="00A953F1">
        <w:trPr>
          <w:trHeight w:val="315"/>
        </w:trPr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4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953F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4. Результати аналізу ефективності:</w:t>
            </w:r>
          </w:p>
        </w:tc>
        <w:tc>
          <w:tcPr>
            <w:tcW w:w="1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A953F1" w:rsidRPr="00A953F1" w:rsidTr="00A953F1">
        <w:trPr>
          <w:trHeight w:val="315"/>
        </w:trPr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A953F1" w:rsidRPr="00A953F1" w:rsidTr="00A953F1">
        <w:trPr>
          <w:trHeight w:val="510"/>
        </w:trPr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0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A953F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№ з/п</w:t>
            </w:r>
          </w:p>
        </w:tc>
        <w:tc>
          <w:tcPr>
            <w:tcW w:w="44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A953F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Назва підпрограми / завдання бюджетної програми1</w:t>
            </w:r>
          </w:p>
        </w:tc>
        <w:tc>
          <w:tcPr>
            <w:tcW w:w="42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A953F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Кількість нарахованих балів</w:t>
            </w:r>
          </w:p>
        </w:tc>
      </w:tr>
      <w:tr w:rsidR="00A953F1" w:rsidRPr="00A953F1" w:rsidTr="00A953F1">
        <w:trPr>
          <w:trHeight w:val="510"/>
        </w:trPr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0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4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A953F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Висока ефективність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A953F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Середня ефективність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A953F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Низька ефективність</w:t>
            </w:r>
          </w:p>
        </w:tc>
      </w:tr>
      <w:tr w:rsidR="00A953F1" w:rsidRPr="00A953F1" w:rsidTr="00A953F1">
        <w:trPr>
          <w:trHeight w:val="315"/>
        </w:trPr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953F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4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953F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953F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953F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953F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</w:t>
            </w:r>
          </w:p>
        </w:tc>
      </w:tr>
      <w:tr w:rsidR="00A953F1" w:rsidRPr="00A953F1" w:rsidTr="00A953F1">
        <w:trPr>
          <w:trHeight w:val="315"/>
        </w:trPr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953F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953F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953F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953F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953F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х</w:t>
            </w:r>
          </w:p>
        </w:tc>
      </w:tr>
      <w:tr w:rsidR="00A953F1" w:rsidRPr="00A953F1" w:rsidTr="00A953F1">
        <w:trPr>
          <w:trHeight w:val="315"/>
        </w:trPr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953F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953F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Завдання 1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953F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953F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953F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A953F1" w:rsidRPr="00A953F1" w:rsidTr="00A953F1">
        <w:trPr>
          <w:trHeight w:val="1290"/>
        </w:trPr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953F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4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A953F1">
              <w:rPr>
                <w:rFonts w:ascii="Times New Roman" w:eastAsia="Times New Roman" w:hAnsi="Times New Roman" w:cs="Times New Roman"/>
                <w:lang w:eastAsia="uk-UA"/>
              </w:rPr>
              <w:t xml:space="preserve"> Забезпечення збереження популяризації духовного надбання нації (розвиток інфраструктури музеїв), забезпечення виставковою діяльністю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953F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        218.6 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953F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-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953F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- </w:t>
            </w:r>
          </w:p>
        </w:tc>
      </w:tr>
      <w:tr w:rsidR="00A953F1" w:rsidRPr="00A953F1" w:rsidTr="00A953F1">
        <w:trPr>
          <w:trHeight w:val="585"/>
        </w:trPr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A953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A953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Загальний результат оцінки програми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A953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              218.6 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A953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 -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A953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 - </w:t>
            </w:r>
          </w:p>
        </w:tc>
      </w:tr>
      <w:tr w:rsidR="00A953F1" w:rsidRPr="00A953F1" w:rsidTr="00A953F1">
        <w:trPr>
          <w:trHeight w:val="225"/>
        </w:trPr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</w:p>
        </w:tc>
        <w:tc>
          <w:tcPr>
            <w:tcW w:w="84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A953F1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uk-UA"/>
              </w:rPr>
              <w:t>1</w:t>
            </w:r>
            <w:r w:rsidRPr="00A953F1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Зазначаються усі програми та завдання, які включені до звіту про виконання паспорту бюджетної програми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</w:p>
        </w:tc>
      </w:tr>
      <w:tr w:rsidR="00A953F1" w:rsidRPr="00A953F1" w:rsidTr="00A953F1">
        <w:trPr>
          <w:trHeight w:val="315"/>
        </w:trPr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A953F1" w:rsidRPr="00A953F1" w:rsidTr="00A953F1">
        <w:trPr>
          <w:trHeight w:val="315"/>
        </w:trPr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4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953F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5. Поглиблений аналіз причин низької ефективності</w:t>
            </w:r>
          </w:p>
        </w:tc>
        <w:tc>
          <w:tcPr>
            <w:tcW w:w="1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A953F1" w:rsidRPr="00A953F1" w:rsidTr="00A953F1">
        <w:trPr>
          <w:trHeight w:val="990"/>
        </w:trPr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A953F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№ з/п</w:t>
            </w:r>
          </w:p>
        </w:tc>
        <w:tc>
          <w:tcPr>
            <w:tcW w:w="4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A953F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Назва завдання бюджетної програми2</w:t>
            </w:r>
          </w:p>
        </w:tc>
        <w:tc>
          <w:tcPr>
            <w:tcW w:w="42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A953F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Пояснення щодо причин низької ефективності, визначення факторів через які не досягнуто запланованих результатів</w:t>
            </w:r>
          </w:p>
        </w:tc>
      </w:tr>
      <w:tr w:rsidR="00A953F1" w:rsidRPr="00A953F1" w:rsidTr="00A953F1">
        <w:trPr>
          <w:trHeight w:val="315"/>
        </w:trPr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953F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4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953F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42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953F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</w:tr>
      <w:tr w:rsidR="00A953F1" w:rsidRPr="00A953F1" w:rsidTr="00A953F1">
        <w:trPr>
          <w:trHeight w:val="315"/>
        </w:trPr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953F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4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A953F1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42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A953F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</w:tr>
      <w:tr w:rsidR="00A953F1" w:rsidRPr="00A953F1" w:rsidTr="00A953F1">
        <w:trPr>
          <w:trHeight w:val="315"/>
        </w:trPr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953F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A953F1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42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A953F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</w:tr>
      <w:tr w:rsidR="00A953F1" w:rsidRPr="00A953F1" w:rsidTr="00A953F1">
        <w:trPr>
          <w:trHeight w:val="255"/>
        </w:trPr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4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A953F1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uk-UA"/>
              </w:rPr>
              <w:t>2</w:t>
            </w:r>
            <w:r w:rsidRPr="00A953F1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Зазначаються усі завдання, які мають низьку ефективність</w:t>
            </w:r>
          </w:p>
        </w:tc>
        <w:tc>
          <w:tcPr>
            <w:tcW w:w="1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A953F1" w:rsidRPr="00A953F1" w:rsidTr="00A953F1">
        <w:trPr>
          <w:trHeight w:val="255"/>
        </w:trPr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A953F1" w:rsidRPr="00A953F1" w:rsidTr="00A953F1">
        <w:trPr>
          <w:trHeight w:val="255"/>
        </w:trPr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A953F1" w:rsidRPr="00A953F1" w:rsidTr="00A953F1">
        <w:trPr>
          <w:trHeight w:val="432"/>
        </w:trPr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4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53F1" w:rsidRPr="00A953F1" w:rsidRDefault="00A953F1" w:rsidP="00A95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953F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Начальник управління культури і туризму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953F1" w:rsidRPr="00A953F1" w:rsidRDefault="00A953F1" w:rsidP="00A95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953F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68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953F1" w:rsidRPr="00A953F1" w:rsidRDefault="00A953F1" w:rsidP="00A95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953F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Тетяна БАССАК</w:t>
            </w:r>
          </w:p>
        </w:tc>
      </w:tr>
      <w:tr w:rsidR="00A953F1" w:rsidRPr="00A953F1" w:rsidTr="00A953F1">
        <w:trPr>
          <w:trHeight w:val="315"/>
        </w:trPr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53F1" w:rsidRPr="00A953F1" w:rsidRDefault="00A953F1" w:rsidP="00A95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53F1" w:rsidRPr="00A953F1" w:rsidRDefault="00A953F1" w:rsidP="00A95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53F1" w:rsidRPr="00A953F1" w:rsidRDefault="00A953F1" w:rsidP="00A95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953F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(підпис)</w:t>
            </w:r>
          </w:p>
        </w:tc>
        <w:tc>
          <w:tcPr>
            <w:tcW w:w="26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53F1" w:rsidRPr="00A953F1" w:rsidRDefault="00A953F1" w:rsidP="00A95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953F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(ініціали та прізвище)</w:t>
            </w:r>
          </w:p>
        </w:tc>
      </w:tr>
    </w:tbl>
    <w:p w:rsidR="00A953F1" w:rsidRDefault="00A953F1"/>
    <w:sectPr w:rsidR="00A953F1" w:rsidSect="00A953F1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53F1"/>
    <w:rsid w:val="00317809"/>
    <w:rsid w:val="006E5C2D"/>
    <w:rsid w:val="00A95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381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2961</Words>
  <Characters>1689</Characters>
  <Application>Microsoft Office Word</Application>
  <DocSecurity>0</DocSecurity>
  <Lines>14</Lines>
  <Paragraphs>9</Paragraphs>
  <ScaleCrop>false</ScaleCrop>
  <Company/>
  <LinksUpToDate>false</LinksUpToDate>
  <CharactersWithSpaces>4641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Oksana</dc:creator>
  <cp:lastModifiedBy>Oksana</cp:lastModifiedBy>
  <cp:revision>4</cp:revision>
  <dcterms:created xsi:type="dcterms:W3CDTF">2022-02-08T21:19:00Z</dcterms:created>
  <dcterms:modified xsi:type="dcterms:W3CDTF">2022-02-11T13:07:00Z</dcterms:modified>
</cp:coreProperties>
</file>