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35C" w:rsidRPr="0054635C" w:rsidRDefault="0054635C" w:rsidP="0054635C">
      <w:pPr>
        <w:shd w:val="clear" w:color="auto" w:fill="FFFFFF"/>
        <w:spacing w:after="300" w:line="240" w:lineRule="auto"/>
        <w:outlineLvl w:val="2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36"/>
          <w:szCs w:val="36"/>
          <w:lang w:eastAsia="uk-UA"/>
        </w:rPr>
        <w:t>Бюджетні орієнтири для складання проектів місцевих бюджетів на 2023 рік</w:t>
      </w:r>
      <w:r w:rsidRPr="0054635C">
        <w:rPr>
          <w:rFonts w:ascii="Arial" w:eastAsia="Times New Roman" w:hAnsi="Arial" w:cs="Arial"/>
          <w:sz w:val="24"/>
          <w:szCs w:val="24"/>
          <w:lang w:eastAsia="uk-UA"/>
        </w:rPr>
        <w:t>    </w:t>
      </w:r>
    </w:p>
    <w:p w:rsidR="0054635C" w:rsidRPr="0054635C" w:rsidRDefault="0054635C" w:rsidP="0054635C">
      <w:pPr>
        <w:shd w:val="clear" w:color="auto" w:fill="FFFFFF"/>
        <w:spacing w:after="120" w:line="240" w:lineRule="auto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> </w:t>
      </w:r>
      <w:r w:rsidRPr="0054635C">
        <w:rPr>
          <w:rFonts w:ascii="Arial" w:eastAsia="Times New Roman" w:hAnsi="Arial" w:cs="Arial"/>
          <w:b/>
          <w:bCs/>
          <w:sz w:val="24"/>
          <w:szCs w:val="24"/>
          <w:lang w:eastAsia="uk-UA"/>
        </w:rPr>
        <w:t>19</w:t>
      </w:r>
      <w:r w:rsidRPr="0054635C">
        <w:rPr>
          <w:rFonts w:ascii="Arial" w:eastAsia="Times New Roman" w:hAnsi="Arial" w:cs="Arial"/>
          <w:sz w:val="24"/>
          <w:szCs w:val="24"/>
          <w:lang w:eastAsia="uk-UA"/>
        </w:rPr>
        <w:t> / Серпень, 2022</w:t>
      </w:r>
    </w:p>
    <w:p w:rsidR="0054635C" w:rsidRPr="0054635C" w:rsidRDefault="0054635C" w:rsidP="0054635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>Триває активна підготовка до наступного бюджетного року і нещодавно Міністерство фінансів України на виконання положень </w:t>
      </w:r>
      <w:hyperlink r:id="rId5" w:anchor="n1228" w:tgtFrame="_blank" w:history="1">
        <w:r w:rsidRPr="0054635C">
          <w:rPr>
            <w:rFonts w:ascii="Arial" w:eastAsia="Times New Roman" w:hAnsi="Arial" w:cs="Arial"/>
            <w:sz w:val="24"/>
            <w:szCs w:val="24"/>
            <w:u w:val="single"/>
            <w:lang w:eastAsia="uk-UA"/>
          </w:rPr>
          <w:t>статті 75</w:t>
        </w:r>
      </w:hyperlink>
      <w:r w:rsidRPr="0054635C">
        <w:rPr>
          <w:rFonts w:ascii="Arial" w:eastAsia="Times New Roman" w:hAnsi="Arial" w:cs="Arial"/>
          <w:sz w:val="24"/>
          <w:szCs w:val="24"/>
          <w:lang w:eastAsia="uk-UA"/>
        </w:rPr>
        <w:t> Бюджетного кодексу України у </w:t>
      </w:r>
      <w:hyperlink r:id="rId6" w:tgtFrame="_blank" w:history="1">
        <w:r w:rsidRPr="0054635C">
          <w:rPr>
            <w:rFonts w:ascii="Arial" w:eastAsia="Times New Roman" w:hAnsi="Arial" w:cs="Arial"/>
            <w:sz w:val="24"/>
            <w:szCs w:val="24"/>
            <w:u w:val="single"/>
            <w:lang w:eastAsia="uk-UA"/>
          </w:rPr>
          <w:t>листі</w:t>
        </w:r>
      </w:hyperlink>
      <w:r w:rsidRPr="0054635C">
        <w:rPr>
          <w:rFonts w:ascii="Arial" w:eastAsia="Times New Roman" w:hAnsi="Arial" w:cs="Arial"/>
          <w:sz w:val="24"/>
          <w:szCs w:val="24"/>
          <w:lang w:eastAsia="uk-UA"/>
        </w:rPr>
        <w:t> до департаментів фінансів обласних та Київської міської державних адміністрацій довело до місцевих органів влади інформацію про особливості складання розрахунків до проектів місцевих бюджетів на 2023 рік.</w:t>
      </w:r>
    </w:p>
    <w:p w:rsidR="0054635C" w:rsidRPr="0054635C" w:rsidRDefault="0054635C" w:rsidP="0054635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У листі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Мінфіна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> зазначається, що через повномасштабне вторгнення російської федерації в Україну у 2022 році призупинено дію статті </w:t>
      </w:r>
      <w:hyperlink r:id="rId7" w:anchor="n3496" w:tgtFrame="_blank" w:history="1">
        <w:r w:rsidRPr="0054635C">
          <w:rPr>
            <w:rFonts w:ascii="Arial" w:eastAsia="Times New Roman" w:hAnsi="Arial" w:cs="Arial"/>
            <w:sz w:val="24"/>
            <w:szCs w:val="24"/>
            <w:u w:val="single"/>
            <w:lang w:eastAsia="uk-UA"/>
          </w:rPr>
          <w:t>75-1</w:t>
        </w:r>
      </w:hyperlink>
      <w:r w:rsidRPr="0054635C">
        <w:rPr>
          <w:rFonts w:ascii="Arial" w:eastAsia="Times New Roman" w:hAnsi="Arial" w:cs="Arial"/>
          <w:sz w:val="24"/>
          <w:szCs w:val="24"/>
          <w:lang w:eastAsia="uk-UA"/>
        </w:rPr>
        <w:t> Бюджетного кодексу України та пов’язані з нею норми щодо прогнозів місцевих бюджетів (Закон України </w:t>
      </w:r>
      <w:hyperlink r:id="rId8" w:tgtFrame="_blank" w:history="1">
        <w:r w:rsidRPr="0054635C">
          <w:rPr>
            <w:rFonts w:ascii="Arial" w:eastAsia="Times New Roman" w:hAnsi="Arial" w:cs="Arial"/>
            <w:sz w:val="24"/>
            <w:szCs w:val="24"/>
            <w:u w:val="single"/>
            <w:lang w:eastAsia="uk-UA"/>
          </w:rPr>
          <w:t>№2134-IX</w:t>
        </w:r>
      </w:hyperlink>
      <w:r w:rsidRPr="0054635C">
        <w:rPr>
          <w:rFonts w:ascii="Arial" w:eastAsia="Times New Roman" w:hAnsi="Arial" w:cs="Arial"/>
          <w:sz w:val="24"/>
          <w:szCs w:val="24"/>
          <w:lang w:eastAsia="uk-UA"/>
        </w:rPr>
        <w:t>). Тобто </w:t>
      </w:r>
      <w:r w:rsidRPr="0054635C">
        <w:rPr>
          <w:rFonts w:ascii="Arial" w:eastAsia="Times New Roman" w:hAnsi="Arial" w:cs="Arial"/>
          <w:b/>
          <w:bCs/>
          <w:sz w:val="24"/>
          <w:szCs w:val="24"/>
          <w:lang w:eastAsia="uk-UA"/>
        </w:rPr>
        <w:t>прогноз місцевого бюджету як документ середньострокового бюджетного планування у 2022 році не складається.</w:t>
      </w:r>
    </w:p>
    <w:p w:rsidR="0054635C" w:rsidRPr="0054635C" w:rsidRDefault="0054635C" w:rsidP="0054635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b/>
          <w:bCs/>
          <w:sz w:val="24"/>
          <w:szCs w:val="24"/>
          <w:lang w:eastAsia="uk-UA"/>
        </w:rPr>
        <w:t>Мінфін звертає увагу, що під час планування дохідної частини місцевого бюджету на 2023 рік у частині податкових і неподаткових надходжень та інших доходів доцільно керуватися: </w:t>
      </w:r>
    </w:p>
    <w:p w:rsidR="0054635C" w:rsidRPr="0054635C" w:rsidRDefault="0054635C" w:rsidP="0054635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1) основними прогнозними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макропоказниками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економічного і соціального розвитку України, які було надіслано листом Мінекономіки від 08.07.2022 №3011-02/46349-03;</w:t>
      </w:r>
      <w:r w:rsidRPr="0054635C">
        <w:rPr>
          <w:rFonts w:ascii="Arial" w:eastAsia="Times New Roman" w:hAnsi="Arial" w:cs="Arial"/>
          <w:sz w:val="24"/>
          <w:szCs w:val="24"/>
          <w:lang w:eastAsia="uk-UA"/>
        </w:rPr>
        <w:br/>
        <w:t>2) нормами Бюджетного та Податкового кодексів України, рішеннями органів місцевого самоврядування про встановлення місцевих податків і зборів, ураховуючи при цьому чинні ставки оподаткування та нормативи зарахування загальнодержавних податків до відповідних місцевих бюджетів й індексацію ставок окремих із них.</w:t>
      </w:r>
    </w:p>
    <w:p w:rsidR="0054635C" w:rsidRPr="0054635C" w:rsidRDefault="0054635C" w:rsidP="0054635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>У пояснювальній записці до оцінки доходів місцевих бюджетів на 2023 рік Мінфін повідомляє, що </w:t>
      </w:r>
      <w:r w:rsidRPr="0054635C">
        <w:rPr>
          <w:rFonts w:ascii="Arial" w:eastAsia="Times New Roman" w:hAnsi="Arial" w:cs="Arial"/>
          <w:b/>
          <w:bCs/>
          <w:sz w:val="24"/>
          <w:szCs w:val="24"/>
          <w:lang w:eastAsia="uk-UA"/>
        </w:rPr>
        <w:t xml:space="preserve">загалом показник доходів місцевих бюджетів на 2023 рік обраховано в сумі 360,2 </w:t>
      </w:r>
      <w:proofErr w:type="spellStart"/>
      <w:r w:rsidRPr="0054635C">
        <w:rPr>
          <w:rFonts w:ascii="Arial" w:eastAsia="Times New Roman" w:hAnsi="Arial" w:cs="Arial"/>
          <w:b/>
          <w:bCs/>
          <w:sz w:val="24"/>
          <w:szCs w:val="24"/>
          <w:lang w:eastAsia="uk-UA"/>
        </w:rPr>
        <w:t>млрд</w:t>
      </w:r>
      <w:proofErr w:type="spellEnd"/>
      <w:r w:rsidRPr="0054635C">
        <w:rPr>
          <w:rFonts w:ascii="Arial" w:eastAsia="Times New Roman" w:hAnsi="Arial" w:cs="Arial"/>
          <w:b/>
          <w:bCs/>
          <w:sz w:val="24"/>
          <w:szCs w:val="24"/>
          <w:lang w:eastAsia="uk-UA"/>
        </w:rPr>
        <w:t xml:space="preserve"> гривень</w:t>
      </w:r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, з них: 336,8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млрд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 – загальний фонд; 23,4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млрд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 – спеціальний фонд. </w:t>
      </w:r>
      <w:r w:rsidRPr="0054635C">
        <w:rPr>
          <w:rFonts w:ascii="Arial" w:eastAsia="Times New Roman" w:hAnsi="Arial" w:cs="Arial"/>
          <w:b/>
          <w:bCs/>
          <w:sz w:val="24"/>
          <w:szCs w:val="24"/>
          <w:lang w:eastAsia="uk-UA"/>
        </w:rPr>
        <w:t xml:space="preserve">Прогнозні показники доходів місцевих бюджетів на 2023 рік порівняно з планом на 2022 рік зменшено на 77,3 </w:t>
      </w:r>
      <w:proofErr w:type="spellStart"/>
      <w:r w:rsidRPr="0054635C">
        <w:rPr>
          <w:rFonts w:ascii="Arial" w:eastAsia="Times New Roman" w:hAnsi="Arial" w:cs="Arial"/>
          <w:b/>
          <w:bCs/>
          <w:sz w:val="24"/>
          <w:szCs w:val="24"/>
          <w:lang w:eastAsia="uk-UA"/>
        </w:rPr>
        <w:t>млрд</w:t>
      </w:r>
      <w:proofErr w:type="spellEnd"/>
      <w:r w:rsidRPr="0054635C">
        <w:rPr>
          <w:rFonts w:ascii="Arial" w:eastAsia="Times New Roman" w:hAnsi="Arial" w:cs="Arial"/>
          <w:b/>
          <w:bCs/>
          <w:sz w:val="24"/>
          <w:szCs w:val="24"/>
          <w:lang w:eastAsia="uk-UA"/>
        </w:rPr>
        <w:t xml:space="preserve"> гривень, або на 17,7%</w:t>
      </w:r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, зокрема: за загальним фондом – зменшується на 75,3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млрд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гривень, або на 18,3%; за спеціальним фондом – зменшується на 2,0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млрд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гривень, або на 7,8%.</w:t>
      </w:r>
    </w:p>
    <w:p w:rsidR="0054635C" w:rsidRPr="0054635C" w:rsidRDefault="0054635C" w:rsidP="0054635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762500" cy="3267075"/>
            <wp:effectExtent l="19050" t="0" r="0" b="0"/>
            <wp:docPr id="2" name="Рисунок 2" descr="https://auc.org.ua/sites/default/files/sectors/u-12041/rys.1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uc.org.ua/sites/default/files/sectors/u-12041/rys.1_1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5C" w:rsidRPr="0054635C" w:rsidRDefault="0054635C" w:rsidP="0054635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>Основним джерелом надходжень загального фонду є </w:t>
      </w:r>
      <w:r w:rsidRPr="0054635C">
        <w:rPr>
          <w:rFonts w:ascii="Arial" w:eastAsia="Times New Roman" w:hAnsi="Arial" w:cs="Arial"/>
          <w:b/>
          <w:bCs/>
          <w:sz w:val="24"/>
          <w:szCs w:val="24"/>
          <w:lang w:eastAsia="uk-UA"/>
        </w:rPr>
        <w:t>податок на доходи фізичних осіб (далі – ПДФО)</w:t>
      </w:r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, що становить 55,7% від показника доходів загального фонду 2023 року. Прогнозний показник ПДФО на 2023 рік до місцевих бюджетів становлять </w:t>
      </w:r>
      <w:r w:rsidRPr="0054635C">
        <w:rPr>
          <w:rFonts w:ascii="Arial" w:eastAsia="Times New Roman" w:hAnsi="Arial" w:cs="Arial"/>
          <w:sz w:val="24"/>
          <w:szCs w:val="24"/>
          <w:lang w:eastAsia="uk-UA"/>
        </w:rPr>
        <w:lastRenderedPageBreak/>
        <w:t xml:space="preserve">187,7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млрд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гривень. Як зазначається у </w:t>
      </w:r>
      <w:hyperlink r:id="rId10" w:tgtFrame="_blank" w:history="1">
        <w:r w:rsidRPr="0054635C">
          <w:rPr>
            <w:rFonts w:ascii="Arial" w:eastAsia="Times New Roman" w:hAnsi="Arial" w:cs="Arial"/>
            <w:sz w:val="24"/>
            <w:szCs w:val="24"/>
            <w:u w:val="single"/>
            <w:lang w:eastAsia="uk-UA"/>
          </w:rPr>
          <w:t>додатку</w:t>
        </w:r>
      </w:hyperlink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 до листа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Мінфіна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> факторами впливу на спад надходжень </w:t>
      </w:r>
      <w:r w:rsidRPr="0054635C">
        <w:rPr>
          <w:rFonts w:ascii="Arial" w:eastAsia="Times New Roman" w:hAnsi="Arial" w:cs="Arial"/>
          <w:b/>
          <w:bCs/>
          <w:sz w:val="24"/>
          <w:szCs w:val="24"/>
          <w:lang w:eastAsia="uk-UA"/>
        </w:rPr>
        <w:t>ПДФО</w:t>
      </w:r>
      <w:r w:rsidRPr="0054635C">
        <w:rPr>
          <w:rFonts w:ascii="Arial" w:eastAsia="Times New Roman" w:hAnsi="Arial" w:cs="Arial"/>
          <w:sz w:val="24"/>
          <w:szCs w:val="24"/>
          <w:lang w:eastAsia="uk-UA"/>
        </w:rPr>
        <w:t> у 2023 році, який становить 24,8% до очікуваного показника 2022 року, є ділова активність суб’єктів господарювання, виходячи з можливостей в періоди дії воєнного стану та ліквідації наслідків збройної агресії проти України, та </w:t>
      </w:r>
      <w:r w:rsidRPr="0054635C">
        <w:rPr>
          <w:rFonts w:ascii="Arial" w:eastAsia="Times New Roman" w:hAnsi="Arial" w:cs="Arial"/>
          <w:i/>
          <w:iCs/>
          <w:sz w:val="24"/>
          <w:szCs w:val="24"/>
          <w:lang w:eastAsia="uk-UA"/>
        </w:rPr>
        <w:t>наміри скасувати з 2023 року оподаткування ПДФО грошового забезпечення та інших виплат військовослужбовцям.</w:t>
      </w:r>
    </w:p>
    <w:p w:rsidR="0054635C" w:rsidRPr="0054635C" w:rsidRDefault="0054635C" w:rsidP="005463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b/>
          <w:bCs/>
          <w:sz w:val="24"/>
          <w:szCs w:val="24"/>
          <w:lang w:eastAsia="uk-UA"/>
        </w:rPr>
        <w:t>Під час прогнозування дохідної частини місцевих бюджетів на 2023 рік було враховано пропозицію Асоціації міст України щодо продовження на 2023 рік дії тимчасової норми щодо підвищеного (+ 4%) нормативу зарахування ПДФО до місцевих бюджетів (крім бюджету м. Києва).</w:t>
      </w:r>
    </w:p>
    <w:p w:rsidR="0054635C" w:rsidRPr="0054635C" w:rsidRDefault="0054635C" w:rsidP="0054635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762500" cy="3238500"/>
            <wp:effectExtent l="19050" t="0" r="0" b="0"/>
            <wp:docPr id="3" name="Рисунок 3" descr="https://auc.org.ua/sites/default/files/sectors/u-12041/rys.2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uc.org.ua/sites/default/files/sectors/u-12041/rys.2_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5C" w:rsidRPr="0054635C" w:rsidRDefault="0054635C" w:rsidP="0054635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>Прогнозується, що у 2023 році до місцевих бюджетів, зокрема, надійде:</w:t>
      </w:r>
    </w:p>
    <w:p w:rsidR="0054635C" w:rsidRPr="0054635C" w:rsidRDefault="0054635C" w:rsidP="005463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54,9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млрд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 єдиного податку (+5,6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млрд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 або 11,4% порівняно із очікуваним показником на 2022 рік);</w:t>
      </w:r>
    </w:p>
    <w:p w:rsidR="0054635C" w:rsidRPr="0054635C" w:rsidRDefault="0054635C" w:rsidP="005463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21,6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млрд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 акцизів (з них 11,1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млрд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 акцизів з роздрібного продажу алкоголю та тютюну; 10,2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млрд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 акцизу на ввезене пальне та 300 тис. гривень акцизу на вироблене пальне). Розрахунки здійснено з врахуванням оподаткування пального за повною ставкою;</w:t>
      </w:r>
    </w:p>
    <w:p w:rsidR="0054635C" w:rsidRPr="0054635C" w:rsidRDefault="0054635C" w:rsidP="005463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37,8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млрд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 плати за землю (+2,3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млрд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 або +6,4% порівняно із очікуваним показником на 2022 рік);</w:t>
      </w:r>
    </w:p>
    <w:p w:rsidR="0054635C" w:rsidRPr="0054635C" w:rsidRDefault="0054635C" w:rsidP="005463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20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млрд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 власних надходжень бюджетних установ;</w:t>
      </w:r>
    </w:p>
    <w:p w:rsidR="0054635C" w:rsidRPr="0054635C" w:rsidRDefault="0054635C" w:rsidP="005463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8,3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млрд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 рентної плати за користування надрами;</w:t>
      </w:r>
    </w:p>
    <w:p w:rsidR="0054635C" w:rsidRPr="0054635C" w:rsidRDefault="0054635C" w:rsidP="005463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7,9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млрд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 податку на нерухоме майно, відмінне від земельної ділянки;</w:t>
      </w:r>
    </w:p>
    <w:p w:rsidR="0054635C" w:rsidRPr="0054635C" w:rsidRDefault="0054635C" w:rsidP="005463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1,3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млрд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 коштів від продажу землі;</w:t>
      </w:r>
    </w:p>
    <w:p w:rsidR="0054635C" w:rsidRPr="0054635C" w:rsidRDefault="0054635C" w:rsidP="005463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971,8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млн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 екологічного податку;</w:t>
      </w:r>
    </w:p>
    <w:p w:rsidR="0054635C" w:rsidRPr="0054635C" w:rsidRDefault="0054635C" w:rsidP="005463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551,7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млн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 рентної плати за спеціальне використання лісових ресурсів;</w:t>
      </w:r>
    </w:p>
    <w:p w:rsidR="0054635C" w:rsidRPr="0054635C" w:rsidRDefault="0054635C" w:rsidP="005463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410,9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млн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 рентної плати за спеціальне використання води;</w:t>
      </w:r>
    </w:p>
    <w:p w:rsidR="0054635C" w:rsidRPr="0054635C" w:rsidRDefault="0054635C" w:rsidP="005463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110,6 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млн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 гривень транспортного податку.</w:t>
      </w:r>
    </w:p>
    <w:p w:rsidR="0054635C" w:rsidRPr="0054635C" w:rsidRDefault="0054635C" w:rsidP="0054635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i/>
          <w:iCs/>
          <w:sz w:val="24"/>
          <w:szCs w:val="24"/>
          <w:lang w:eastAsia="uk-UA"/>
        </w:rPr>
        <w:t>Зауважується, що прогнозні показники дохідної частини місцевих бюджетів на 2023 рік є не остаточними та можуть змінитися.</w:t>
      </w:r>
    </w:p>
    <w:p w:rsidR="0054635C" w:rsidRPr="0054635C" w:rsidRDefault="0054635C" w:rsidP="0054635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>Щодо </w:t>
      </w:r>
      <w:r w:rsidRPr="0054635C">
        <w:rPr>
          <w:rFonts w:ascii="Arial" w:eastAsia="Times New Roman" w:hAnsi="Arial" w:cs="Arial"/>
          <w:b/>
          <w:bCs/>
          <w:sz w:val="24"/>
          <w:szCs w:val="24"/>
          <w:lang w:eastAsia="uk-UA"/>
        </w:rPr>
        <w:t>міжбюджетних трансфертів</w:t>
      </w:r>
      <w:r w:rsidRPr="0054635C">
        <w:rPr>
          <w:rFonts w:ascii="Arial" w:eastAsia="Times New Roman" w:hAnsi="Arial" w:cs="Arial"/>
          <w:sz w:val="24"/>
          <w:szCs w:val="24"/>
          <w:lang w:eastAsia="uk-UA"/>
        </w:rPr>
        <w:t> зазначається, що їх обсяг на 2023 рік і розподіл між місцевими бюджетами буде надіслано додатково після отримання бюджетних запитів від головних розпорядників коштів державного бюджету разом з аналітичними даними та розрахунками з обґрунтуваннями особливостей міжбюджетних відносин на 2023 рік на адресу департаментів фінансів обласних та Київської міської державних адміністрацій.</w:t>
      </w:r>
      <w:r w:rsidRPr="0054635C">
        <w:rPr>
          <w:rFonts w:ascii="Arial" w:eastAsia="Times New Roman" w:hAnsi="Arial" w:cs="Arial"/>
          <w:sz w:val="24"/>
          <w:szCs w:val="24"/>
          <w:lang w:eastAsia="uk-UA"/>
        </w:rPr>
        <w:br/>
      </w:r>
      <w:r w:rsidRPr="0054635C">
        <w:rPr>
          <w:rFonts w:ascii="Arial" w:eastAsia="Times New Roman" w:hAnsi="Arial" w:cs="Arial"/>
          <w:b/>
          <w:bCs/>
          <w:sz w:val="24"/>
          <w:szCs w:val="24"/>
          <w:lang w:eastAsia="uk-UA"/>
        </w:rPr>
        <w:t>Розрахунок горизонтального вирівнювання податкоспроможності</w:t>
      </w:r>
      <w:r w:rsidRPr="0054635C">
        <w:rPr>
          <w:rFonts w:ascii="Arial" w:eastAsia="Times New Roman" w:hAnsi="Arial" w:cs="Arial"/>
          <w:sz w:val="24"/>
          <w:szCs w:val="24"/>
          <w:lang w:eastAsia="uk-UA"/>
        </w:rPr>
        <w:t xml:space="preserve"> місцевих </w:t>
      </w:r>
      <w:r w:rsidRPr="0054635C">
        <w:rPr>
          <w:rFonts w:ascii="Arial" w:eastAsia="Times New Roman" w:hAnsi="Arial" w:cs="Arial"/>
          <w:sz w:val="24"/>
          <w:szCs w:val="24"/>
          <w:lang w:eastAsia="uk-UA"/>
        </w:rPr>
        <w:lastRenderedPageBreak/>
        <w:t>бюджетів на 2023 рік попередньо буде здійснено на основі очікуваних надходжень у 2022 році податку на доходи фізичних осіб, </w:t>
      </w:r>
      <w:r w:rsidRPr="0054635C">
        <w:rPr>
          <w:rFonts w:ascii="Arial" w:eastAsia="Times New Roman" w:hAnsi="Arial" w:cs="Arial"/>
          <w:i/>
          <w:iCs/>
          <w:sz w:val="24"/>
          <w:szCs w:val="24"/>
          <w:lang w:eastAsia="uk-UA"/>
        </w:rPr>
        <w:t>без урахування ПДФО з грошового забезпечення, грошових винагород та інших виплат, одержаних військовослужбовцями й особами рядового і начальницького складу.</w:t>
      </w:r>
    </w:p>
    <w:p w:rsidR="0054635C" w:rsidRPr="0054635C" w:rsidRDefault="0054635C" w:rsidP="0054635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>Крім того, під час складання проектів місцевих бюджетів слід, зокрема, керуватися:</w:t>
      </w:r>
      <w:r w:rsidRPr="0054635C">
        <w:rPr>
          <w:rFonts w:ascii="Arial" w:eastAsia="Times New Roman" w:hAnsi="Arial" w:cs="Arial"/>
          <w:sz w:val="24"/>
          <w:szCs w:val="24"/>
          <w:lang w:eastAsia="uk-UA"/>
        </w:rPr>
        <w:br/>
        <w:t>– наказом Міністерства фінансів України від 14.01.2011 </w:t>
      </w:r>
      <w:hyperlink r:id="rId12" w:tgtFrame="_blank" w:history="1">
        <w:r w:rsidRPr="0054635C">
          <w:rPr>
            <w:rFonts w:ascii="Arial" w:eastAsia="Times New Roman" w:hAnsi="Arial" w:cs="Arial"/>
            <w:sz w:val="24"/>
            <w:szCs w:val="24"/>
            <w:u w:val="single"/>
            <w:lang w:eastAsia="uk-UA"/>
          </w:rPr>
          <w:t>№11</w:t>
        </w:r>
      </w:hyperlink>
      <w:r w:rsidRPr="0054635C">
        <w:rPr>
          <w:rFonts w:ascii="Arial" w:eastAsia="Times New Roman" w:hAnsi="Arial" w:cs="Arial"/>
          <w:sz w:val="24"/>
          <w:szCs w:val="24"/>
          <w:lang w:eastAsia="uk-UA"/>
        </w:rPr>
        <w:t> «Про бюджетну класифікацію» (зі змінами); </w:t>
      </w:r>
      <w:r w:rsidRPr="0054635C">
        <w:rPr>
          <w:rFonts w:ascii="Arial" w:eastAsia="Times New Roman" w:hAnsi="Arial" w:cs="Arial"/>
          <w:sz w:val="24"/>
          <w:szCs w:val="24"/>
          <w:lang w:eastAsia="uk-UA"/>
        </w:rPr>
        <w:br/>
        <w:t>– наказом Міністерства фінансів України від 17.07.2015 </w:t>
      </w:r>
      <w:hyperlink r:id="rId13" w:anchor="Text" w:tgtFrame="_blank" w:history="1">
        <w:r w:rsidRPr="0054635C">
          <w:rPr>
            <w:rFonts w:ascii="Arial" w:eastAsia="Times New Roman" w:hAnsi="Arial" w:cs="Arial"/>
            <w:sz w:val="24"/>
            <w:szCs w:val="24"/>
            <w:u w:val="single"/>
            <w:lang w:eastAsia="uk-UA"/>
          </w:rPr>
          <w:t>№648</w:t>
        </w:r>
      </w:hyperlink>
      <w:r w:rsidRPr="0054635C">
        <w:rPr>
          <w:rFonts w:ascii="Arial" w:eastAsia="Times New Roman" w:hAnsi="Arial" w:cs="Arial"/>
          <w:sz w:val="24"/>
          <w:szCs w:val="24"/>
          <w:lang w:eastAsia="uk-UA"/>
        </w:rPr>
        <w:t> «Про затвердження типових форм бюджетних запитів для формування місцевих бюджетів», зареєстрованим у Міністерстві юстиції України 06.08.2015 за № 957/27402 (зі змінами); </w:t>
      </w:r>
      <w:r w:rsidRPr="0054635C">
        <w:rPr>
          <w:rFonts w:ascii="Arial" w:eastAsia="Times New Roman" w:hAnsi="Arial" w:cs="Arial"/>
          <w:sz w:val="24"/>
          <w:szCs w:val="24"/>
          <w:lang w:eastAsia="uk-UA"/>
        </w:rPr>
        <w:br/>
        <w:t>– наказом Міністерства фінансів України від 20.09.2017 </w:t>
      </w:r>
      <w:hyperlink r:id="rId14" w:anchor="Text" w:tgtFrame="_blank" w:history="1">
        <w:r w:rsidRPr="0054635C">
          <w:rPr>
            <w:rFonts w:ascii="Arial" w:eastAsia="Times New Roman" w:hAnsi="Arial" w:cs="Arial"/>
            <w:sz w:val="24"/>
            <w:szCs w:val="24"/>
            <w:u w:val="single"/>
            <w:lang w:eastAsia="uk-UA"/>
          </w:rPr>
          <w:t>№793</w:t>
        </w:r>
      </w:hyperlink>
      <w:r w:rsidRPr="0054635C">
        <w:rPr>
          <w:rFonts w:ascii="Arial" w:eastAsia="Times New Roman" w:hAnsi="Arial" w:cs="Arial"/>
          <w:sz w:val="24"/>
          <w:szCs w:val="24"/>
          <w:lang w:eastAsia="uk-UA"/>
        </w:rPr>
        <w:t> «Про затвердження складових Програмної класифікації видатків та кредитування місцевого бюджету» (зі змінами); </w:t>
      </w:r>
      <w:r w:rsidRPr="0054635C">
        <w:rPr>
          <w:rFonts w:ascii="Arial" w:eastAsia="Times New Roman" w:hAnsi="Arial" w:cs="Arial"/>
          <w:sz w:val="24"/>
          <w:szCs w:val="24"/>
          <w:lang w:eastAsia="uk-UA"/>
        </w:rPr>
        <w:br/>
        <w:t>– наказом Міністерства фінансів України від 03.08.2018 </w:t>
      </w:r>
      <w:hyperlink r:id="rId15" w:anchor="Text" w:tgtFrame="_blank" w:history="1">
        <w:r w:rsidRPr="0054635C">
          <w:rPr>
            <w:rFonts w:ascii="Arial" w:eastAsia="Times New Roman" w:hAnsi="Arial" w:cs="Arial"/>
            <w:sz w:val="24"/>
            <w:szCs w:val="24"/>
            <w:u w:val="single"/>
            <w:lang w:eastAsia="uk-UA"/>
          </w:rPr>
          <w:t>№668</w:t>
        </w:r>
      </w:hyperlink>
      <w:r w:rsidRPr="0054635C">
        <w:rPr>
          <w:rFonts w:ascii="Arial" w:eastAsia="Times New Roman" w:hAnsi="Arial" w:cs="Arial"/>
          <w:sz w:val="24"/>
          <w:szCs w:val="24"/>
          <w:lang w:eastAsia="uk-UA"/>
        </w:rPr>
        <w:t> «Про затвердження Типової форми рішення про місцевий бюджет»; </w:t>
      </w:r>
      <w:r w:rsidRPr="0054635C">
        <w:rPr>
          <w:rFonts w:ascii="Arial" w:eastAsia="Times New Roman" w:hAnsi="Arial" w:cs="Arial"/>
          <w:sz w:val="24"/>
          <w:szCs w:val="24"/>
          <w:lang w:eastAsia="uk-UA"/>
        </w:rPr>
        <w:br/>
        <w:t>Також наголошується на дотриманні виконання наказу Міністерства фінансів України від 30.08.2021 </w:t>
      </w:r>
      <w:hyperlink r:id="rId16" w:anchor="Text" w:tgtFrame="_blank" w:history="1">
        <w:r w:rsidRPr="0054635C">
          <w:rPr>
            <w:rFonts w:ascii="Arial" w:eastAsia="Times New Roman" w:hAnsi="Arial" w:cs="Arial"/>
            <w:sz w:val="24"/>
            <w:szCs w:val="24"/>
            <w:u w:val="single"/>
            <w:lang w:eastAsia="uk-UA"/>
          </w:rPr>
          <w:t>№488</w:t>
        </w:r>
      </w:hyperlink>
      <w:r w:rsidRPr="0054635C">
        <w:rPr>
          <w:rFonts w:ascii="Arial" w:eastAsia="Times New Roman" w:hAnsi="Arial" w:cs="Arial"/>
          <w:sz w:val="24"/>
          <w:szCs w:val="24"/>
          <w:lang w:eastAsia="uk-UA"/>
        </w:rPr>
        <w:t> «Про затвердження Порядку обміну інформацією між Міністерством фінансів України та учасниками бюджетного процесу на місцевому рівні». </w:t>
      </w:r>
    </w:p>
    <w:p w:rsidR="0054635C" w:rsidRPr="0054635C" w:rsidRDefault="0054635C" w:rsidP="0054635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t>Більше у </w:t>
      </w:r>
      <w:hyperlink r:id="rId17" w:tgtFrame="_blank" w:history="1">
        <w:r w:rsidRPr="0054635C">
          <w:rPr>
            <w:rFonts w:ascii="Arial" w:eastAsia="Times New Roman" w:hAnsi="Arial" w:cs="Arial"/>
            <w:sz w:val="24"/>
            <w:szCs w:val="24"/>
            <w:u w:val="single"/>
            <w:lang w:eastAsia="uk-UA"/>
          </w:rPr>
          <w:t>листі</w:t>
        </w:r>
      </w:hyperlink>
      <w:r w:rsidRPr="0054635C">
        <w:rPr>
          <w:rFonts w:ascii="Arial" w:eastAsia="Times New Roman" w:hAnsi="Arial" w:cs="Arial"/>
          <w:sz w:val="24"/>
          <w:szCs w:val="24"/>
          <w:lang w:eastAsia="uk-UA"/>
        </w:rPr>
        <w:t> </w:t>
      </w:r>
      <w:proofErr w:type="spellStart"/>
      <w:r w:rsidRPr="0054635C">
        <w:rPr>
          <w:rFonts w:ascii="Arial" w:eastAsia="Times New Roman" w:hAnsi="Arial" w:cs="Arial"/>
          <w:sz w:val="24"/>
          <w:szCs w:val="24"/>
          <w:lang w:eastAsia="uk-UA"/>
        </w:rPr>
        <w:t>Мінфіна</w:t>
      </w:r>
      <w:proofErr w:type="spellEnd"/>
      <w:r w:rsidRPr="0054635C">
        <w:rPr>
          <w:rFonts w:ascii="Arial" w:eastAsia="Times New Roman" w:hAnsi="Arial" w:cs="Arial"/>
          <w:sz w:val="24"/>
          <w:szCs w:val="24"/>
          <w:lang w:eastAsia="uk-UA"/>
        </w:rPr>
        <w:t> та </w:t>
      </w:r>
      <w:hyperlink r:id="rId18" w:tgtFrame="_blank" w:history="1">
        <w:r w:rsidRPr="0054635C">
          <w:rPr>
            <w:rFonts w:ascii="Arial" w:eastAsia="Times New Roman" w:hAnsi="Arial" w:cs="Arial"/>
            <w:sz w:val="24"/>
            <w:szCs w:val="24"/>
            <w:u w:val="single"/>
            <w:lang w:eastAsia="uk-UA"/>
          </w:rPr>
          <w:t>додатку</w:t>
        </w:r>
      </w:hyperlink>
      <w:r w:rsidRPr="0054635C">
        <w:rPr>
          <w:rFonts w:ascii="Arial" w:eastAsia="Times New Roman" w:hAnsi="Arial" w:cs="Arial"/>
          <w:sz w:val="24"/>
          <w:szCs w:val="24"/>
          <w:lang w:eastAsia="uk-UA"/>
        </w:rPr>
        <w:t> до листа. </w:t>
      </w:r>
    </w:p>
    <w:p w:rsidR="0054635C" w:rsidRPr="0054635C" w:rsidRDefault="0054635C" w:rsidP="0054635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sz w:val="24"/>
          <w:szCs w:val="24"/>
          <w:lang w:eastAsia="uk-UA"/>
        </w:rPr>
        <w:pict>
          <v:rect id="_x0000_i1025" style="width:0;height:0" o:hralign="center" o:hrstd="t" o:hr="t" fillcolor="#a0a0a0" stroked="f"/>
        </w:pict>
      </w:r>
    </w:p>
    <w:p w:rsidR="0054635C" w:rsidRPr="0054635C" w:rsidRDefault="0054635C" w:rsidP="0054635C">
      <w:pPr>
        <w:shd w:val="clear" w:color="auto" w:fill="FFFFFF"/>
        <w:spacing w:before="300" w:after="30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i/>
          <w:iCs/>
          <w:sz w:val="24"/>
          <w:szCs w:val="24"/>
          <w:lang w:eastAsia="uk-UA"/>
        </w:rPr>
        <w:t>Асоціація міст України зібрала пропозиції територіальних громад та  готується до бюджетних консультацій з Мінфіном щодо показників місцевих бюджетів у Держбюджеті-2023.</w:t>
      </w:r>
    </w:p>
    <w:p w:rsidR="0054635C" w:rsidRPr="0054635C" w:rsidRDefault="0054635C" w:rsidP="0054635C">
      <w:pPr>
        <w:shd w:val="clear" w:color="auto" w:fill="FFFFFF"/>
        <w:spacing w:before="300" w:after="30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54635C">
        <w:rPr>
          <w:rFonts w:ascii="Arial" w:eastAsia="Times New Roman" w:hAnsi="Arial" w:cs="Arial"/>
          <w:i/>
          <w:iCs/>
          <w:sz w:val="24"/>
          <w:szCs w:val="24"/>
          <w:lang w:eastAsia="uk-UA"/>
        </w:rPr>
        <w:t>Нагадаємо, АМУ з метою захисту інтересів громад у бюджетному процесі щорічно бере участь у бюджетних консультаціях, що проводяться відповідно до Закону України «Про асоціації органів місцевого самоврядування».</w:t>
      </w:r>
    </w:p>
    <w:sectPr w:rsidR="0054635C" w:rsidRPr="0054635C" w:rsidSect="0054635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C13E2"/>
    <w:multiLevelType w:val="multilevel"/>
    <w:tmpl w:val="B28E9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635C"/>
    <w:rsid w:val="0054635C"/>
    <w:rsid w:val="00B53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952"/>
  </w:style>
  <w:style w:type="paragraph" w:styleId="2">
    <w:name w:val="heading 2"/>
    <w:basedOn w:val="a"/>
    <w:link w:val="20"/>
    <w:uiPriority w:val="9"/>
    <w:qFormat/>
    <w:rsid w:val="005463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5463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635C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54635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sharelabel">
    <w:name w:val="share__label"/>
    <w:basedOn w:val="a0"/>
    <w:rsid w:val="0054635C"/>
  </w:style>
  <w:style w:type="character" w:styleId="a3">
    <w:name w:val="Hyperlink"/>
    <w:basedOn w:val="a0"/>
    <w:uiPriority w:val="99"/>
    <w:semiHidden/>
    <w:unhideWhenUsed/>
    <w:rsid w:val="0054635C"/>
    <w:rPr>
      <w:color w:val="0000FF"/>
      <w:u w:val="single"/>
    </w:rPr>
  </w:style>
  <w:style w:type="paragraph" w:customStyle="1" w:styleId="rtejustify">
    <w:name w:val="rtejustify"/>
    <w:basedOn w:val="a"/>
    <w:rsid w:val="00546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54635C"/>
    <w:rPr>
      <w:b/>
      <w:bCs/>
    </w:rPr>
  </w:style>
  <w:style w:type="character" w:styleId="a5">
    <w:name w:val="Emphasis"/>
    <w:basedOn w:val="a0"/>
    <w:uiPriority w:val="20"/>
    <w:qFormat/>
    <w:rsid w:val="0054635C"/>
    <w:rPr>
      <w:i/>
      <w:iCs/>
    </w:rPr>
  </w:style>
  <w:style w:type="paragraph" w:customStyle="1" w:styleId="text-right">
    <w:name w:val="text-right"/>
    <w:basedOn w:val="a"/>
    <w:rsid w:val="00546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ield-content">
    <w:name w:val="field-content"/>
    <w:basedOn w:val="a0"/>
    <w:rsid w:val="0054635C"/>
  </w:style>
  <w:style w:type="paragraph" w:styleId="a6">
    <w:name w:val="Balloon Text"/>
    <w:basedOn w:val="a"/>
    <w:link w:val="a7"/>
    <w:uiPriority w:val="99"/>
    <w:semiHidden/>
    <w:unhideWhenUsed/>
    <w:rsid w:val="00546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463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147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5007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803836">
                      <w:marLeft w:val="0"/>
                      <w:marRight w:val="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55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897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37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44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409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86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77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20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07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328763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4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318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714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24431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94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429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339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555591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343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88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970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1145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6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79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38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671079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10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87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610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34-20" TargetMode="External"/><Relationship Id="rId13" Type="http://schemas.openxmlformats.org/officeDocument/2006/relationships/hyperlink" Target="https://zakon.rada.gov.ua/laws/show/z0957-15" TargetMode="External"/><Relationship Id="rId18" Type="http://schemas.openxmlformats.org/officeDocument/2006/relationships/hyperlink" Target="https://auc.org.ua/sites/default/files/sectors/u-12041/poyasnyuvalna_mb_2023_0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56-17" TargetMode="External"/><Relationship Id="rId12" Type="http://schemas.openxmlformats.org/officeDocument/2006/relationships/hyperlink" Target="https://zakon.rada.gov.ua/rada/show/v0011201-11" TargetMode="External"/><Relationship Id="rId17" Type="http://schemas.openxmlformats.org/officeDocument/2006/relationships/hyperlink" Target="https://auc.org.ua/sites/default/files/sectors/u-12041/2022-08-15_lyst_oda-kmda_0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z1372-2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auc.org.ua/sites/default/files/sectors/u-12041/2022-08-15_lyst_oda-kmda.pdf" TargetMode="External"/><Relationship Id="rId11" Type="http://schemas.openxmlformats.org/officeDocument/2006/relationships/image" Target="media/image2.png"/><Relationship Id="rId5" Type="http://schemas.openxmlformats.org/officeDocument/2006/relationships/hyperlink" Target="https://zakon.rada.gov.ua/laws/show/2456-17" TargetMode="External"/><Relationship Id="rId15" Type="http://schemas.openxmlformats.org/officeDocument/2006/relationships/hyperlink" Target="https://zakon.rada.gov.ua/laws/show/z0953-18" TargetMode="External"/><Relationship Id="rId10" Type="http://schemas.openxmlformats.org/officeDocument/2006/relationships/hyperlink" Target="https://auc.org.ua/sites/default/files/sectors/u-12041/poyasnyuvalna_mb_2023.doc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zakon.rada.gov.ua/rada/show/v0793201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4671</Words>
  <Characters>2663</Characters>
  <Application>Microsoft Office Word</Application>
  <DocSecurity>0</DocSecurity>
  <Lines>22</Lines>
  <Paragraphs>14</Paragraphs>
  <ScaleCrop>false</ScaleCrop>
  <Company>diakov.net</Company>
  <LinksUpToDate>false</LinksUpToDate>
  <CharactersWithSpaces>7320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2022-08-22T05:39:00Z</dcterms:created>
  <dcterms:modified xsi:type="dcterms:W3CDTF">2022-08-22T05:41:00Z</dcterms:modified>
</cp:coreProperties>
</file>