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28013C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>В</w:t>
      </w:r>
      <w:r w:rsidR="00530745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  1 грудня </w:t>
      </w:r>
      <w:r w:rsidR="00530745" w:rsidRPr="00135AB2">
        <w:rPr>
          <w:sz w:val="28"/>
          <w:szCs w:val="28"/>
        </w:rPr>
        <w:t>20</w:t>
      </w:r>
      <w:r w:rsidR="00F07993">
        <w:rPr>
          <w:sz w:val="28"/>
          <w:szCs w:val="28"/>
        </w:rPr>
        <w:t>2</w:t>
      </w:r>
      <w:r w:rsidR="00782DBC">
        <w:rPr>
          <w:sz w:val="28"/>
          <w:szCs w:val="28"/>
          <w:lang w:val="ru-RU"/>
        </w:rPr>
        <w:t>2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7F70F7">
        <w:rPr>
          <w:sz w:val="28"/>
          <w:szCs w:val="28"/>
          <w:lang w:val="ru-RU"/>
        </w:rPr>
        <w:t xml:space="preserve">       </w:t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7F70F7">
        <w:rPr>
          <w:sz w:val="28"/>
          <w:szCs w:val="28"/>
          <w:lang w:val="ru-RU"/>
        </w:rPr>
        <w:t xml:space="preserve">  </w:t>
      </w:r>
      <w:r w:rsidR="00530745" w:rsidRPr="00C10ED9">
        <w:rPr>
          <w:sz w:val="28"/>
          <w:szCs w:val="28"/>
        </w:rPr>
        <w:tab/>
        <w:t xml:space="preserve">                            </w:t>
      </w:r>
      <w:r w:rsidR="00530745">
        <w:rPr>
          <w:sz w:val="28"/>
          <w:szCs w:val="28"/>
        </w:rPr>
        <w:t xml:space="preserve">№ </w:t>
      </w:r>
      <w:r>
        <w:rPr>
          <w:sz w:val="28"/>
          <w:szCs w:val="28"/>
        </w:rPr>
        <w:t>436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Про затвердження фінансових планів підприємств</w:t>
      </w:r>
    </w:p>
    <w:p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>унальної форми власності на 202</w:t>
      </w:r>
      <w:r w:rsidR="00782DBC" w:rsidRPr="00782DBC">
        <w:rPr>
          <w:bCs/>
          <w:sz w:val="28"/>
          <w:szCs w:val="28"/>
        </w:rPr>
        <w:t>3</w:t>
      </w:r>
      <w:r w:rsidRPr="00161C54">
        <w:rPr>
          <w:bCs/>
          <w:sz w:val="28"/>
          <w:szCs w:val="28"/>
        </w:rPr>
        <w:t xml:space="preserve"> рік</w:t>
      </w:r>
    </w:p>
    <w:p w:rsidR="00645639" w:rsidRPr="00161C54" w:rsidRDefault="00645639" w:rsidP="00645639">
      <w:pPr>
        <w:rPr>
          <w:bCs/>
          <w:sz w:val="28"/>
          <w:szCs w:val="28"/>
        </w:rPr>
      </w:pPr>
    </w:p>
    <w:p w:rsidR="00645639" w:rsidRPr="00A778A4" w:rsidRDefault="00645639" w:rsidP="00645639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42, 59 Закону України «Про місцеве самоврядування в Україні», ст. 24,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</w:t>
      </w:r>
      <w:r w:rsidR="000879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  <w:lang w:val="uk-UA"/>
        </w:rPr>
        <w:t>» зі</w:t>
      </w:r>
      <w:r>
        <w:rPr>
          <w:sz w:val="28"/>
          <w:szCs w:val="28"/>
          <w:lang w:val="uk-UA"/>
        </w:rPr>
        <w:t xml:space="preserve"> змінами та доповненнями, внесеними наказом Міністерства</w:t>
      </w:r>
      <w:r w:rsidR="001971A4">
        <w:rPr>
          <w:sz w:val="28"/>
          <w:szCs w:val="28"/>
          <w:lang w:val="uk-UA"/>
        </w:rPr>
        <w:t xml:space="preserve"> розвитку економіки, торгівлі та сільського господарства України від 22.01.2021 року №122</w:t>
      </w:r>
      <w:r>
        <w:rPr>
          <w:sz w:val="28"/>
          <w:szCs w:val="28"/>
          <w:lang w:val="uk-UA"/>
        </w:rPr>
        <w:t>,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F07993">
        <w:rPr>
          <w:sz w:val="28"/>
          <w:szCs w:val="28"/>
          <w:lang w:val="uk-UA"/>
        </w:rPr>
        <w:t>ві плани цих підприємств на 202</w:t>
      </w:r>
      <w:r w:rsidR="00782DB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:rsidR="00645639" w:rsidRDefault="00645639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</w:t>
      </w:r>
      <w:r w:rsidR="00782DBC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рік (додаються): </w:t>
      </w:r>
    </w:p>
    <w:p w:rsidR="00645639" w:rsidRDefault="0044384F" w:rsidP="006352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CB3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1.1</w:t>
      </w:r>
      <w:r w:rsidR="00A32E7E">
        <w:rPr>
          <w:sz w:val="28"/>
          <w:szCs w:val="28"/>
        </w:rPr>
        <w:t xml:space="preserve">.  </w:t>
      </w:r>
      <w:r w:rsidR="00635214">
        <w:rPr>
          <w:sz w:val="28"/>
          <w:szCs w:val="28"/>
        </w:rPr>
        <w:t xml:space="preserve">КП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645639">
        <w:rPr>
          <w:sz w:val="28"/>
          <w:szCs w:val="28"/>
        </w:rPr>
        <w:t>КП «Виробниче управління комунального господарства»</w:t>
      </w:r>
    </w:p>
    <w:p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="00645639">
        <w:rPr>
          <w:sz w:val="28"/>
          <w:szCs w:val="28"/>
        </w:rPr>
        <w:t xml:space="preserve">КП «Служба єдиного замовника» </w:t>
      </w:r>
    </w:p>
    <w:p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="00645639">
        <w:rPr>
          <w:sz w:val="28"/>
          <w:szCs w:val="28"/>
        </w:rPr>
        <w:t xml:space="preserve">КП «Керуюча компанія «Північна»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CB3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</w:rPr>
        <w:t xml:space="preserve">1.5. </w:t>
      </w:r>
      <w:r w:rsidR="00645639">
        <w:rPr>
          <w:sz w:val="28"/>
          <w:szCs w:val="28"/>
        </w:rPr>
        <w:t xml:space="preserve">КП «Комунальний ринок» </w:t>
      </w:r>
    </w:p>
    <w:p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</w:t>
      </w:r>
      <w:r w:rsidR="00645639">
        <w:rPr>
          <w:sz w:val="28"/>
          <w:szCs w:val="28"/>
        </w:rPr>
        <w:t xml:space="preserve">КТВП «Школяр» </w:t>
      </w:r>
    </w:p>
    <w:p w:rsidR="00645639" w:rsidRDefault="00796CB3" w:rsidP="00796C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44384F">
        <w:rPr>
          <w:sz w:val="28"/>
          <w:szCs w:val="28"/>
        </w:rPr>
        <w:t xml:space="preserve"> 1.7. </w:t>
      </w:r>
      <w:r w:rsidR="00645639">
        <w:rPr>
          <w:sz w:val="28"/>
          <w:szCs w:val="28"/>
        </w:rPr>
        <w:t xml:space="preserve">КП «Оренда комунального майна» </w:t>
      </w:r>
    </w:p>
    <w:p w:rsidR="00645639" w:rsidRDefault="0044384F" w:rsidP="00023AF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CB3">
        <w:rPr>
          <w:sz w:val="28"/>
          <w:szCs w:val="28"/>
          <w:lang w:val="ru-RU"/>
        </w:rPr>
        <w:t xml:space="preserve">  </w:t>
      </w:r>
      <w:r w:rsidR="00796CB3">
        <w:rPr>
          <w:sz w:val="28"/>
          <w:szCs w:val="28"/>
          <w:lang w:val="ru-RU"/>
        </w:rPr>
        <w:tab/>
      </w:r>
      <w:r w:rsidR="00782DBC">
        <w:rPr>
          <w:sz w:val="28"/>
          <w:szCs w:val="28"/>
        </w:rPr>
        <w:t xml:space="preserve"> 1.</w:t>
      </w:r>
      <w:r w:rsidR="00782DBC">
        <w:rPr>
          <w:sz w:val="28"/>
          <w:szCs w:val="28"/>
          <w:lang w:val="ru-RU"/>
        </w:rPr>
        <w:t>8</w:t>
      </w:r>
      <w:r w:rsidR="00782DBC">
        <w:rPr>
          <w:sz w:val="28"/>
          <w:szCs w:val="28"/>
        </w:rPr>
        <w:t>.</w:t>
      </w:r>
      <w:r w:rsidR="000670E9">
        <w:rPr>
          <w:sz w:val="28"/>
          <w:szCs w:val="28"/>
        </w:rPr>
        <w:t>К</w:t>
      </w:r>
      <w:r w:rsidR="00023AFB">
        <w:rPr>
          <w:sz w:val="28"/>
          <w:szCs w:val="28"/>
        </w:rPr>
        <w:t xml:space="preserve">НП </w:t>
      </w:r>
      <w:r w:rsidR="00645639">
        <w:rPr>
          <w:sz w:val="28"/>
          <w:szCs w:val="28"/>
        </w:rPr>
        <w:t>«Ніжинський міський центр первинної медико-санітарної допомоги»</w:t>
      </w:r>
    </w:p>
    <w:p w:rsidR="00645639" w:rsidRDefault="00796CB3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782DBC">
        <w:rPr>
          <w:sz w:val="28"/>
          <w:szCs w:val="28"/>
        </w:rPr>
        <w:t xml:space="preserve"> 1.</w:t>
      </w:r>
      <w:r w:rsidR="00782DBC">
        <w:rPr>
          <w:sz w:val="28"/>
          <w:szCs w:val="28"/>
          <w:lang w:val="ru-RU"/>
        </w:rPr>
        <w:t>9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:rsidR="00645639" w:rsidRDefault="00796CB3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782DBC">
        <w:rPr>
          <w:sz w:val="28"/>
          <w:szCs w:val="28"/>
        </w:rPr>
        <w:t xml:space="preserve"> 1.1</w:t>
      </w:r>
      <w:r w:rsidR="00782DBC">
        <w:rPr>
          <w:sz w:val="28"/>
          <w:szCs w:val="28"/>
          <w:lang w:val="ru-RU"/>
        </w:rPr>
        <w:t>0</w:t>
      </w:r>
      <w:r w:rsidR="00782DBC">
        <w:rPr>
          <w:sz w:val="28"/>
          <w:szCs w:val="28"/>
        </w:rPr>
        <w:t>.</w:t>
      </w:r>
      <w:r w:rsidR="00645639">
        <w:rPr>
          <w:sz w:val="28"/>
          <w:szCs w:val="28"/>
        </w:rPr>
        <w:t>КНП «Ніжинський міський пологовий будинок»</w:t>
      </w:r>
    </w:p>
    <w:p w:rsidR="00C14C95" w:rsidRDefault="00C14C95" w:rsidP="00635214">
      <w:pPr>
        <w:ind w:firstLine="360"/>
        <w:jc w:val="both"/>
        <w:rPr>
          <w:sz w:val="28"/>
          <w:szCs w:val="28"/>
        </w:rPr>
      </w:pPr>
    </w:p>
    <w:p w:rsidR="00645639" w:rsidRDefault="00796CB3" w:rsidP="00796CB3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782DBC">
        <w:rPr>
          <w:sz w:val="28"/>
          <w:szCs w:val="28"/>
        </w:rPr>
        <w:t xml:space="preserve"> 1.1</w:t>
      </w:r>
      <w:r w:rsidR="00782DBC" w:rsidRPr="00E718F1">
        <w:rPr>
          <w:sz w:val="28"/>
          <w:szCs w:val="28"/>
        </w:rPr>
        <w:t>1</w:t>
      </w:r>
      <w:r w:rsidR="0044384F">
        <w:rPr>
          <w:sz w:val="28"/>
          <w:szCs w:val="28"/>
        </w:rPr>
        <w:t xml:space="preserve">.  </w:t>
      </w:r>
      <w:r w:rsidR="00645639">
        <w:rPr>
          <w:sz w:val="28"/>
          <w:szCs w:val="28"/>
        </w:rPr>
        <w:t xml:space="preserve">КНП «Ніжинська міська стоматологічна поліклініка».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керівників підприємств комунальної форми власності подавати до відділу економіки та інвестиційної діяльності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повноту та достовірність даних, що надаються підприємством, несе безпосередньо керівник підприємства.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Відділу економіки та</w:t>
      </w:r>
      <w:r w:rsidR="00A32E7E">
        <w:rPr>
          <w:sz w:val="28"/>
          <w:szCs w:val="28"/>
        </w:rPr>
        <w:t xml:space="preserve"> інвестиційної діяльності (Тетяна Гавриш</w:t>
      </w:r>
      <w:r>
        <w:rPr>
          <w:sz w:val="28"/>
          <w:szCs w:val="28"/>
        </w:rPr>
        <w:t xml:space="preserve">) здійснювати аналіз показників виконання фінансових планів та узагальнену інформацію надавати на розгляд міському голові.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 необхідності внесення зм</w:t>
      </w:r>
      <w:r w:rsidR="00256A1C">
        <w:rPr>
          <w:sz w:val="28"/>
          <w:szCs w:val="28"/>
        </w:rPr>
        <w:t xml:space="preserve">ін до фінансових планів, </w:t>
      </w:r>
      <w:proofErr w:type="spellStart"/>
      <w:r w:rsidR="00256A1C">
        <w:rPr>
          <w:sz w:val="28"/>
          <w:szCs w:val="28"/>
        </w:rPr>
        <w:t>проєкт</w:t>
      </w:r>
      <w:proofErr w:type="spellEnd"/>
      <w:r w:rsidR="0025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цих змін та пояснювальну записку подавати на розгляд виконавчого комітету міської ради після закінчення звітного періоду (кварталу) не пізніше </w:t>
      </w:r>
      <w:r w:rsidR="00A32E7E" w:rsidRPr="00A32E7E">
        <w:rPr>
          <w:sz w:val="28"/>
          <w:szCs w:val="28"/>
        </w:rPr>
        <w:t xml:space="preserve">10 </w:t>
      </w:r>
      <w:r w:rsidRPr="00A32E7E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місяця, що настає за звітним, але не більше двох разів протягом планового року.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Відділу економіки та інве</w:t>
      </w:r>
      <w:r w:rsidR="001971A4">
        <w:rPr>
          <w:sz w:val="28"/>
          <w:szCs w:val="28"/>
        </w:rPr>
        <w:t>стиційної діяльності (</w:t>
      </w:r>
      <w:r w:rsidR="00A32E7E">
        <w:rPr>
          <w:sz w:val="28"/>
          <w:szCs w:val="28"/>
        </w:rPr>
        <w:t>Тетяна Гавриш</w:t>
      </w:r>
      <w:r>
        <w:rPr>
          <w:sz w:val="28"/>
          <w:szCs w:val="28"/>
        </w:rPr>
        <w:t xml:space="preserve">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645639" w:rsidRDefault="00645639" w:rsidP="0064563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:rsid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BD4295" w:rsidRP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645639" w:rsidRDefault="00645639" w:rsidP="00645639">
      <w:pPr>
        <w:jc w:val="both"/>
        <w:rPr>
          <w:sz w:val="28"/>
          <w:szCs w:val="28"/>
        </w:rPr>
      </w:pPr>
    </w:p>
    <w:p w:rsidR="00BD4295" w:rsidRDefault="00BD4295" w:rsidP="00BD4295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C9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645639" w:rsidRDefault="00645639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Pr="00BD4295" w:rsidRDefault="00BD4295" w:rsidP="00645639">
      <w:pPr>
        <w:rPr>
          <w:sz w:val="28"/>
          <w:szCs w:val="28"/>
          <w:lang w:val="ru-RU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BD4295" w:rsidRPr="00BD4295" w:rsidRDefault="00BD4295" w:rsidP="00645639">
      <w:pPr>
        <w:rPr>
          <w:sz w:val="28"/>
          <w:szCs w:val="28"/>
          <w:lang w:val="ru-RU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0879D0" w:rsidSect="00C14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12" w:rsidRDefault="00D87C12" w:rsidP="0030778F">
      <w:r>
        <w:separator/>
      </w:r>
    </w:p>
  </w:endnote>
  <w:endnote w:type="continuationSeparator" w:id="0">
    <w:p w:rsidR="00D87C12" w:rsidRDefault="00D87C12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12" w:rsidRDefault="00D87C12" w:rsidP="0030778F">
      <w:r>
        <w:separator/>
      </w:r>
    </w:p>
  </w:footnote>
  <w:footnote w:type="continuationSeparator" w:id="0">
    <w:p w:rsidR="00D87C12" w:rsidRDefault="00D87C12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DA"/>
    <w:rsid w:val="00023AFB"/>
    <w:rsid w:val="00042405"/>
    <w:rsid w:val="0006475E"/>
    <w:rsid w:val="00064CE9"/>
    <w:rsid w:val="00066DD2"/>
    <w:rsid w:val="000670E9"/>
    <w:rsid w:val="000879D0"/>
    <w:rsid w:val="00145906"/>
    <w:rsid w:val="001505BB"/>
    <w:rsid w:val="00155958"/>
    <w:rsid w:val="00161C54"/>
    <w:rsid w:val="00167911"/>
    <w:rsid w:val="001971A4"/>
    <w:rsid w:val="001A1D24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013C"/>
    <w:rsid w:val="002836D5"/>
    <w:rsid w:val="00290176"/>
    <w:rsid w:val="00294AA8"/>
    <w:rsid w:val="002D257C"/>
    <w:rsid w:val="002D4741"/>
    <w:rsid w:val="0030778F"/>
    <w:rsid w:val="00364414"/>
    <w:rsid w:val="00377796"/>
    <w:rsid w:val="00391FC4"/>
    <w:rsid w:val="0039460D"/>
    <w:rsid w:val="003A1734"/>
    <w:rsid w:val="003A45B3"/>
    <w:rsid w:val="00427AB0"/>
    <w:rsid w:val="0044384F"/>
    <w:rsid w:val="0046410A"/>
    <w:rsid w:val="00467B61"/>
    <w:rsid w:val="0048499F"/>
    <w:rsid w:val="004A26CB"/>
    <w:rsid w:val="004B36E0"/>
    <w:rsid w:val="004E1BA2"/>
    <w:rsid w:val="004E42AC"/>
    <w:rsid w:val="004F0716"/>
    <w:rsid w:val="0050171E"/>
    <w:rsid w:val="005070BE"/>
    <w:rsid w:val="00516281"/>
    <w:rsid w:val="00530745"/>
    <w:rsid w:val="00541C05"/>
    <w:rsid w:val="00553483"/>
    <w:rsid w:val="0057148F"/>
    <w:rsid w:val="00624D50"/>
    <w:rsid w:val="006321DD"/>
    <w:rsid w:val="00635214"/>
    <w:rsid w:val="00637587"/>
    <w:rsid w:val="00645639"/>
    <w:rsid w:val="00684BCA"/>
    <w:rsid w:val="00697F40"/>
    <w:rsid w:val="006B0159"/>
    <w:rsid w:val="00726411"/>
    <w:rsid w:val="00743C83"/>
    <w:rsid w:val="00782DBC"/>
    <w:rsid w:val="00796CB3"/>
    <w:rsid w:val="007B4843"/>
    <w:rsid w:val="007C257E"/>
    <w:rsid w:val="007C3EBE"/>
    <w:rsid w:val="007E6EDA"/>
    <w:rsid w:val="007F3DD1"/>
    <w:rsid w:val="007F70F7"/>
    <w:rsid w:val="00813BD8"/>
    <w:rsid w:val="0086766A"/>
    <w:rsid w:val="00937C01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BD4295"/>
    <w:rsid w:val="00C14C95"/>
    <w:rsid w:val="00C22FE2"/>
    <w:rsid w:val="00C30C0B"/>
    <w:rsid w:val="00C655B0"/>
    <w:rsid w:val="00C8210E"/>
    <w:rsid w:val="00C82D86"/>
    <w:rsid w:val="00CA4C8F"/>
    <w:rsid w:val="00D05C0C"/>
    <w:rsid w:val="00D672FA"/>
    <w:rsid w:val="00D67B92"/>
    <w:rsid w:val="00D764F3"/>
    <w:rsid w:val="00D87C12"/>
    <w:rsid w:val="00DB1F87"/>
    <w:rsid w:val="00E024BC"/>
    <w:rsid w:val="00E166B7"/>
    <w:rsid w:val="00E17D75"/>
    <w:rsid w:val="00E37C46"/>
    <w:rsid w:val="00E415F5"/>
    <w:rsid w:val="00E718F1"/>
    <w:rsid w:val="00E83444"/>
    <w:rsid w:val="00E87E31"/>
    <w:rsid w:val="00E9391E"/>
    <w:rsid w:val="00EA09B0"/>
    <w:rsid w:val="00EA2CD9"/>
    <w:rsid w:val="00EB6815"/>
    <w:rsid w:val="00EC7443"/>
    <w:rsid w:val="00F07993"/>
    <w:rsid w:val="00F357BE"/>
    <w:rsid w:val="00F53036"/>
    <w:rsid w:val="00F61ED2"/>
    <w:rsid w:val="00F62A4E"/>
    <w:rsid w:val="00FB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5E0D-A79A-41EC-AEAD-E173EC06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2022-11-22T13:40:00Z</cp:lastPrinted>
  <dcterms:created xsi:type="dcterms:W3CDTF">2020-06-18T12:11:00Z</dcterms:created>
  <dcterms:modified xsi:type="dcterms:W3CDTF">2022-12-02T06:42:00Z</dcterms:modified>
</cp:coreProperties>
</file>