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6F" w:rsidRPr="00B6326F" w:rsidRDefault="00B6326F" w:rsidP="00B6326F">
      <w:pPr>
        <w:shd w:val="clear" w:color="auto" w:fill="FFFFFF"/>
        <w:spacing w:before="300" w:after="600" w:line="240" w:lineRule="auto"/>
        <w:outlineLvl w:val="1"/>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Роз’яснення для громад. Оцінка ефективності бюджетних програм місцевого бюджету під час воєнного стану</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b/>
          <w:bCs/>
          <w:sz w:val="28"/>
          <w:szCs w:val="28"/>
          <w:lang w:eastAsia="uk-UA"/>
        </w:rPr>
        <w:t>Оцінка ефективності бюджетних програм є важливою складовою бюджетного процесу, адже передбачає заходи з моніторингу, аналізу та контролю за цільовим та ефективним використанням бюджетних коштів.</w:t>
      </w:r>
    </w:p>
    <w:p w:rsidR="00B6326F" w:rsidRPr="00B6326F" w:rsidRDefault="001A6D6E" w:rsidP="00B6326F">
      <w:pPr>
        <w:shd w:val="clear" w:color="auto" w:fill="FFFFFF"/>
        <w:spacing w:before="300" w:after="300" w:line="240" w:lineRule="auto"/>
        <w:jc w:val="both"/>
        <w:rPr>
          <w:rFonts w:ascii="Times New Roman" w:eastAsia="Times New Roman" w:hAnsi="Times New Roman" w:cs="Times New Roman"/>
          <w:sz w:val="28"/>
          <w:szCs w:val="28"/>
          <w:lang w:eastAsia="uk-UA"/>
        </w:rPr>
      </w:pPr>
      <w:r w:rsidRPr="001A6D6E">
        <w:rPr>
          <w:rFonts w:ascii="Times New Roman" w:eastAsia="Times New Roman" w:hAnsi="Times New Roman" w:cs="Times New Roman"/>
          <w:sz w:val="28"/>
          <w:szCs w:val="28"/>
          <w:lang w:eastAsia="uk-UA"/>
        </w:rPr>
        <w:pict>
          <v:rect id="_x0000_i1025" style="width:0;height:0" o:hralign="center" o:hrstd="t" o:hr="t" fillcolor="#a0a0a0" stroked="f"/>
        </w:pic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У консультації надано роз’яснення з наступних питань:</w:t>
      </w:r>
    </w:p>
    <w:p w:rsidR="00B6326F" w:rsidRPr="00B6326F" w:rsidRDefault="00B6326F" w:rsidP="00B63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Чи потрібно проводити оцінку ефективності бюджетних програм під час дії режиму воєнного стану?</w:t>
      </w:r>
    </w:p>
    <w:p w:rsidR="00B6326F" w:rsidRPr="00B6326F" w:rsidRDefault="00B6326F" w:rsidP="00B63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Яку методику застосовувати для проведення оцінки ефективності бюджетних програм?</w:t>
      </w:r>
    </w:p>
    <w:p w:rsidR="00B6326F" w:rsidRPr="00B6326F" w:rsidRDefault="00B6326F" w:rsidP="00B63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Які терміни для проведення оцінки бюджетних програм за 2022 рік?</w:t>
      </w:r>
    </w:p>
    <w:p w:rsidR="00B6326F" w:rsidRPr="00B6326F" w:rsidRDefault="00B6326F" w:rsidP="00B63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Чи потрібно оприлюднювати результати проведеної оцінки ефективності бюджетних програм?</w:t>
      </w:r>
    </w:p>
    <w:p w:rsidR="00B6326F" w:rsidRPr="00B6326F" w:rsidRDefault="00B6326F" w:rsidP="00B63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Нормативно-правові акти, на основі яких здійснюється оцінка ефективності бюджетних програм та інше.</w:t>
      </w:r>
    </w:p>
    <w:p w:rsidR="00B6326F" w:rsidRPr="00B6326F" w:rsidRDefault="001A6D6E" w:rsidP="00B6326F">
      <w:pPr>
        <w:shd w:val="clear" w:color="auto" w:fill="FFFFFF"/>
        <w:spacing w:before="300" w:after="300" w:line="240" w:lineRule="auto"/>
        <w:jc w:val="both"/>
        <w:rPr>
          <w:rFonts w:ascii="Times New Roman" w:eastAsia="Times New Roman" w:hAnsi="Times New Roman" w:cs="Times New Roman"/>
          <w:sz w:val="28"/>
          <w:szCs w:val="28"/>
          <w:lang w:eastAsia="uk-UA"/>
        </w:rPr>
      </w:pPr>
      <w:r w:rsidRPr="001A6D6E">
        <w:rPr>
          <w:rFonts w:ascii="Times New Roman" w:eastAsia="Times New Roman" w:hAnsi="Times New Roman" w:cs="Times New Roman"/>
          <w:sz w:val="28"/>
          <w:szCs w:val="28"/>
          <w:lang w:eastAsia="uk-UA"/>
        </w:rPr>
        <w:pict>
          <v:rect id="_x0000_i1026" style="width:0;height:0" o:hralign="center" o:hrstd="t" o:hr="t" fillcolor="#a0a0a0" stroked="f"/>
        </w:pic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Незважаючи на те, що головні розпорядники коштів місцевих бюджетів починаючи з 24 лютого 2022 року працюють в умовах дії режиму воєнного стану, </w:t>
      </w:r>
      <w:r w:rsidRPr="00B6326F">
        <w:rPr>
          <w:rFonts w:ascii="Times New Roman" w:eastAsia="Times New Roman" w:hAnsi="Times New Roman" w:cs="Times New Roman"/>
          <w:b/>
          <w:bCs/>
          <w:sz w:val="28"/>
          <w:szCs w:val="28"/>
          <w:lang w:eastAsia="uk-UA"/>
        </w:rPr>
        <w:t>оцінку ефективності  бюджетних програм</w:t>
      </w:r>
      <w:r w:rsidRPr="00B6326F">
        <w:rPr>
          <w:rFonts w:ascii="Times New Roman" w:eastAsia="Times New Roman" w:hAnsi="Times New Roman" w:cs="Times New Roman"/>
          <w:sz w:val="28"/>
          <w:szCs w:val="28"/>
          <w:lang w:eastAsia="uk-UA"/>
        </w:rPr>
        <w:t>, які виконувались ними протягом минулого року, </w:t>
      </w:r>
      <w:r w:rsidRPr="00B6326F">
        <w:rPr>
          <w:rFonts w:ascii="Times New Roman" w:eastAsia="Times New Roman" w:hAnsi="Times New Roman" w:cs="Times New Roman"/>
          <w:b/>
          <w:bCs/>
          <w:sz w:val="28"/>
          <w:szCs w:val="28"/>
          <w:lang w:eastAsia="uk-UA"/>
        </w:rPr>
        <w:t>потрібно проводити</w:t>
      </w:r>
      <w:r w:rsidRPr="00B6326F">
        <w:rPr>
          <w:rFonts w:ascii="Times New Roman" w:eastAsia="Times New Roman" w:hAnsi="Times New Roman" w:cs="Times New Roman"/>
          <w:sz w:val="28"/>
          <w:szCs w:val="28"/>
          <w:lang w:eastAsia="uk-UA"/>
        </w:rPr>
        <w:t>, оскільки наразі жодних виключень у чинному законодавстві щодо можливості її не проведення немає.</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Оновленим </w:t>
      </w:r>
      <w:hyperlink r:id="rId5" w:anchor="Text" w:tgtFrame="_blank" w:history="1">
        <w:r w:rsidRPr="00B6326F">
          <w:rPr>
            <w:rFonts w:ascii="Times New Roman" w:eastAsia="Times New Roman" w:hAnsi="Times New Roman" w:cs="Times New Roman"/>
            <w:sz w:val="28"/>
            <w:szCs w:val="28"/>
            <w:lang w:eastAsia="uk-UA"/>
          </w:rPr>
          <w:t>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w:t>
        </w:r>
      </w:hyperlink>
      <w:r w:rsidRPr="00B6326F">
        <w:rPr>
          <w:rFonts w:ascii="Times New Roman" w:eastAsia="Times New Roman" w:hAnsi="Times New Roman" w:cs="Times New Roman"/>
          <w:sz w:val="28"/>
          <w:szCs w:val="28"/>
          <w:lang w:eastAsia="uk-UA"/>
        </w:rPr>
        <w:t>"</w:t>
      </w:r>
      <w:r w:rsidRPr="00B6326F">
        <w:rPr>
          <w:rFonts w:ascii="Times New Roman" w:eastAsia="Times New Roman" w:hAnsi="Times New Roman" w:cs="Times New Roman"/>
          <w:b/>
          <w:bCs/>
          <w:sz w:val="28"/>
          <w:szCs w:val="28"/>
          <w:lang w:eastAsia="uk-UA"/>
        </w:rPr>
        <w:t> </w:t>
      </w:r>
      <w:r w:rsidRPr="00B6326F">
        <w:rPr>
          <w:rFonts w:ascii="Times New Roman" w:eastAsia="Times New Roman" w:hAnsi="Times New Roman" w:cs="Times New Roman"/>
          <w:sz w:val="28"/>
          <w:szCs w:val="28"/>
          <w:lang w:eastAsia="uk-UA"/>
        </w:rPr>
        <w:t>(далі – Наказ № 836</w:t>
      </w:r>
      <w:r w:rsidRPr="00B6326F">
        <w:rPr>
          <w:rFonts w:ascii="Times New Roman" w:eastAsia="Times New Roman" w:hAnsi="Times New Roman" w:cs="Times New Roman"/>
          <w:b/>
          <w:bCs/>
          <w:sz w:val="28"/>
          <w:szCs w:val="28"/>
          <w:lang w:eastAsia="uk-UA"/>
        </w:rPr>
        <w:t>) </w:t>
      </w:r>
      <w:r w:rsidRPr="00B6326F">
        <w:rPr>
          <w:rFonts w:ascii="Times New Roman" w:eastAsia="Times New Roman" w:hAnsi="Times New Roman" w:cs="Times New Roman"/>
          <w:sz w:val="28"/>
          <w:szCs w:val="28"/>
          <w:lang w:eastAsia="uk-UA"/>
        </w:rPr>
        <w:t>визначено, що головні розпорядники коштів місцевого бюджету </w:t>
      </w:r>
      <w:r w:rsidRPr="00B6326F">
        <w:rPr>
          <w:rFonts w:ascii="Times New Roman" w:eastAsia="Times New Roman" w:hAnsi="Times New Roman" w:cs="Times New Roman"/>
          <w:b/>
          <w:bCs/>
          <w:sz w:val="28"/>
          <w:szCs w:val="28"/>
          <w:lang w:eastAsia="uk-UA"/>
        </w:rPr>
        <w:t>результати оцінки</w:t>
      </w:r>
      <w:r w:rsidRPr="00B6326F">
        <w:rPr>
          <w:rFonts w:ascii="Times New Roman" w:eastAsia="Times New Roman" w:hAnsi="Times New Roman" w:cs="Times New Roman"/>
          <w:sz w:val="28"/>
          <w:szCs w:val="28"/>
          <w:lang w:eastAsia="uk-UA"/>
        </w:rPr>
        <w:t> ефективності бюджетних програм подають місцевому фінансовому органу протягом 14 календарних днів після подання річної звітності, для якої  </w:t>
      </w:r>
      <w:hyperlink r:id="rId6" w:anchor="Text" w:tgtFrame="_blank" w:history="1">
        <w:r w:rsidRPr="00B6326F">
          <w:rPr>
            <w:rFonts w:ascii="Times New Roman" w:eastAsia="Times New Roman" w:hAnsi="Times New Roman" w:cs="Times New Roman"/>
            <w:sz w:val="28"/>
            <w:szCs w:val="28"/>
            <w:lang w:eastAsia="uk-UA"/>
          </w:rPr>
          <w:t>Порядком №419</w:t>
        </w:r>
      </w:hyperlink>
      <w:r w:rsidRPr="00B6326F">
        <w:rPr>
          <w:rFonts w:ascii="Times New Roman" w:eastAsia="Times New Roman" w:hAnsi="Times New Roman" w:cs="Times New Roman"/>
          <w:sz w:val="28"/>
          <w:szCs w:val="28"/>
          <w:lang w:eastAsia="uk-UA"/>
        </w:rPr>
        <w:t>  Держказначейства  визначений термін - </w:t>
      </w:r>
      <w:r w:rsidRPr="00B6326F">
        <w:rPr>
          <w:rFonts w:ascii="Times New Roman" w:eastAsia="Times New Roman" w:hAnsi="Times New Roman" w:cs="Times New Roman"/>
          <w:b/>
          <w:bCs/>
          <w:sz w:val="28"/>
          <w:szCs w:val="28"/>
          <w:lang w:eastAsia="uk-UA"/>
        </w:rPr>
        <w:t>не пізніше 25 лютого </w:t>
      </w:r>
      <w:r w:rsidRPr="00B6326F">
        <w:rPr>
          <w:rFonts w:ascii="Times New Roman" w:eastAsia="Times New Roman" w:hAnsi="Times New Roman" w:cs="Times New Roman"/>
          <w:sz w:val="28"/>
          <w:szCs w:val="28"/>
          <w:lang w:eastAsia="uk-UA"/>
        </w:rPr>
        <w:t>наступного за звітним року.</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Для оцінювання ефективності бюджетних програм використовуються звіти про виконання паспортів бюджетних програм, які відповідно до Наказу № 836 мають бути подані головними розпорядниками до місцевих фінорганів</w:t>
      </w:r>
      <w:r w:rsidRPr="00B6326F">
        <w:rPr>
          <w:rFonts w:ascii="Times New Roman" w:eastAsia="Times New Roman" w:hAnsi="Times New Roman" w:cs="Times New Roman"/>
          <w:b/>
          <w:bCs/>
          <w:sz w:val="28"/>
          <w:szCs w:val="28"/>
          <w:lang w:eastAsia="uk-UA"/>
        </w:rPr>
        <w:t> </w:t>
      </w:r>
      <w:r w:rsidRPr="00B6326F">
        <w:rPr>
          <w:rFonts w:ascii="Times New Roman" w:eastAsia="Times New Roman" w:hAnsi="Times New Roman" w:cs="Times New Roman"/>
          <w:sz w:val="28"/>
          <w:szCs w:val="28"/>
          <w:lang w:eastAsia="uk-UA"/>
        </w:rPr>
        <w:t>у терміни, визначені для подання консолідованої річної звітності – тобто </w:t>
      </w:r>
      <w:r w:rsidRPr="00B6326F">
        <w:rPr>
          <w:rFonts w:ascii="Times New Roman" w:eastAsia="Times New Roman" w:hAnsi="Times New Roman" w:cs="Times New Roman"/>
          <w:b/>
          <w:bCs/>
          <w:sz w:val="28"/>
          <w:szCs w:val="28"/>
          <w:lang w:eastAsia="uk-UA"/>
        </w:rPr>
        <w:t> </w:t>
      </w:r>
      <w:r w:rsidRPr="00B6326F">
        <w:rPr>
          <w:rFonts w:ascii="Times New Roman" w:eastAsia="Times New Roman" w:hAnsi="Times New Roman" w:cs="Times New Roman"/>
          <w:sz w:val="28"/>
          <w:szCs w:val="28"/>
          <w:lang w:eastAsia="uk-UA"/>
        </w:rPr>
        <w:t>до 25 лютого 2023 року.</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Отже, головні розпорядники мають визначитися з термінами проведення оцінки ефективності своїх бюджетних програм за підсумками 2022 року таким чином, щоб подати її результати до місцевих фінансових органів не пізніше 11 березня 2023 року.</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lastRenderedPageBreak/>
        <w:t>Слід зазначити, що на даний час єдиної методики для здійснення оцінки ефективності бюджетних програм, які виконуються розпорядниками коштів місцевих бюджетів, немає.</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Як правило, така оцінка проводиться за удосконаленою </w:t>
      </w:r>
      <w:r w:rsidRPr="00B6326F">
        <w:rPr>
          <w:rFonts w:ascii="Times New Roman" w:eastAsia="Times New Roman" w:hAnsi="Times New Roman" w:cs="Times New Roman"/>
          <w:b/>
          <w:bCs/>
          <w:sz w:val="28"/>
          <w:szCs w:val="28"/>
          <w:lang w:eastAsia="uk-UA"/>
        </w:rPr>
        <w:t>Методикою</w:t>
      </w:r>
      <w:r w:rsidRPr="00B6326F">
        <w:rPr>
          <w:rFonts w:ascii="Times New Roman" w:eastAsia="Times New Roman" w:hAnsi="Times New Roman" w:cs="Times New Roman"/>
          <w:sz w:val="28"/>
          <w:szCs w:val="28"/>
          <w:lang w:eastAsia="uk-UA"/>
        </w:rPr>
        <w:t> </w:t>
      </w:r>
      <w:r w:rsidRPr="00B6326F">
        <w:rPr>
          <w:rFonts w:ascii="Times New Roman" w:eastAsia="Times New Roman" w:hAnsi="Times New Roman" w:cs="Times New Roman"/>
          <w:b/>
          <w:bCs/>
          <w:sz w:val="28"/>
          <w:szCs w:val="28"/>
          <w:lang w:eastAsia="uk-UA"/>
        </w:rPr>
        <w:t>здійснення порівняльного аналізу ефективності бюджетних програм</w:t>
      </w:r>
      <w:r w:rsidRPr="00B6326F">
        <w:rPr>
          <w:rFonts w:ascii="Times New Roman" w:eastAsia="Times New Roman" w:hAnsi="Times New Roman" w:cs="Times New Roman"/>
          <w:sz w:val="28"/>
          <w:szCs w:val="28"/>
          <w:lang w:eastAsia="uk-UA"/>
        </w:rPr>
        <w:t>, що наведена у </w:t>
      </w:r>
      <w:hyperlink r:id="rId7" w:tgtFrame="_blank" w:history="1">
        <w:r w:rsidRPr="00B6326F">
          <w:rPr>
            <w:rFonts w:ascii="Times New Roman" w:eastAsia="Times New Roman" w:hAnsi="Times New Roman" w:cs="Times New Roman"/>
            <w:sz w:val="28"/>
            <w:szCs w:val="28"/>
            <w:lang w:eastAsia="uk-UA"/>
          </w:rPr>
          <w:t>Листі Міністерства фінансів України від 19.09.2013 р  № 31-05110-14-5/27486).</w:t>
        </w:r>
      </w:hyperlink>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Зазначена Методика використовує однаковий алгоритм порівняння планових і фактично виконаних результативних показників (ефективності та якості) бюджетної програми  за звітний і попередній  періоди на основі формульного підходу.</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Разом з тим, головним розпорядникам коштів бюджетів територіальних громад, що розташовані на територіях, на яких ведуться (велися) бойові дії, близьких до зони бойових дій, тимчасово окупованих Російською Федерацією, тобто тим, у кого виконані програми бюджету 2022 року значно відрізняються від попереднього 2021 року,  доцільно для здійснення оцінки своїх бюджетних програм керуватися рекомендаціями </w:t>
      </w:r>
      <w:hyperlink r:id="rId8" w:anchor="Text" w:tgtFrame="_blank" w:history="1">
        <w:r w:rsidRPr="00B6326F">
          <w:rPr>
            <w:rFonts w:ascii="Times New Roman" w:eastAsia="Times New Roman" w:hAnsi="Times New Roman" w:cs="Times New Roman"/>
            <w:sz w:val="28"/>
            <w:szCs w:val="28"/>
            <w:lang w:eastAsia="uk-UA"/>
          </w:rPr>
          <w:t>Наказу Міністерства фінансів України  № 608  від 17.05.2011 «Про затвердження Методичних рекомендацій щодо здійснення оцінки ефективності бюджетних програм»  (із змінами, внесеними згідно з Наказом Міністерства фінансів № 13 від 12.01.2012) </w:t>
        </w:r>
      </w:hyperlink>
      <w:r w:rsidRPr="00B6326F">
        <w:rPr>
          <w:rFonts w:ascii="Times New Roman" w:eastAsia="Times New Roman" w:hAnsi="Times New Roman" w:cs="Times New Roman"/>
          <w:sz w:val="28"/>
          <w:szCs w:val="28"/>
          <w:lang w:eastAsia="uk-UA"/>
        </w:rPr>
        <w:t>(Далі – Наказ № 608).</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Згідно Наказу № 608 головний розпорядник самостійно визначає:</w:t>
      </w:r>
    </w:p>
    <w:p w:rsidR="00B6326F" w:rsidRPr="00B6326F" w:rsidRDefault="00B6326F" w:rsidP="00B63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обсяг і структуру інформації для оцінки;</w:t>
      </w:r>
    </w:p>
    <w:p w:rsidR="00B6326F" w:rsidRPr="00B6326F" w:rsidRDefault="00B6326F" w:rsidP="00B63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джерела інформації;</w:t>
      </w:r>
    </w:p>
    <w:p w:rsidR="00B6326F" w:rsidRPr="00B6326F" w:rsidRDefault="00B6326F" w:rsidP="00B63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технологію обробки та аналізу отриманої інформації</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Таким чином, головний розпорядник може оцінити виконання своїх програм лише за 2022 рік (без порівняння з попереднім 2021 роком) здійснивши аналіз:</w:t>
      </w:r>
    </w:p>
    <w:p w:rsidR="00B6326F" w:rsidRPr="00B6326F" w:rsidRDefault="00B6326F" w:rsidP="00B6326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відповідності бюджетної програми нормативно-правовим актам, на підставі яких передбачалося її виконання;</w:t>
      </w:r>
    </w:p>
    <w:p w:rsidR="00B6326F" w:rsidRPr="00B6326F" w:rsidRDefault="00B6326F" w:rsidP="00B6326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мети, завдань та напрямів використання бюджетних коштів щодо реалістичності та спрямованості на результат;</w:t>
      </w:r>
    </w:p>
    <w:p w:rsidR="00B6326F" w:rsidRPr="00B6326F" w:rsidRDefault="00B6326F" w:rsidP="00B6326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обсягів касових видатків з бюджету (порівняти відображені у звіті про виконання паспорта бюджетної програми із початковими обсягами, затвердженими паспортом бюджетної програми з поясненням причин відхилення);</w:t>
      </w:r>
    </w:p>
    <w:p w:rsidR="00B6326F" w:rsidRPr="00B6326F" w:rsidRDefault="00B6326F" w:rsidP="00B6326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зобов'язань і стану розрахунків за ними;</w:t>
      </w:r>
    </w:p>
    <w:p w:rsidR="00B6326F" w:rsidRPr="00B6326F" w:rsidRDefault="00B6326F" w:rsidP="00B6326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за джерелами надходжень спеціального фонду, зокрема за власними надходженнями:</w:t>
      </w:r>
    </w:p>
    <w:p w:rsidR="00B6326F" w:rsidRPr="00B6326F" w:rsidRDefault="00B6326F" w:rsidP="00B6326F">
      <w:pPr>
        <w:shd w:val="clear" w:color="auto" w:fill="FFFFFF"/>
        <w:spacing w:after="150" w:line="240" w:lineRule="auto"/>
        <w:ind w:left="1200"/>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 аналіз залишків на початок і на кінець року  із поясненням причин їх наявності;</w:t>
      </w:r>
      <w:r w:rsidRPr="00B6326F">
        <w:rPr>
          <w:rFonts w:ascii="Times New Roman" w:eastAsia="Times New Roman" w:hAnsi="Times New Roman" w:cs="Times New Roman"/>
          <w:sz w:val="28"/>
          <w:szCs w:val="28"/>
          <w:lang w:eastAsia="uk-UA"/>
        </w:rPr>
        <w:br/>
        <w:t>- аналіз фактичних і планових надходжень із поясненням причин відхилень;</w:t>
      </w:r>
    </w:p>
    <w:p w:rsidR="00B6326F" w:rsidRPr="00B6326F" w:rsidRDefault="00B6326F" w:rsidP="00B6326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lastRenderedPageBreak/>
        <w:t xml:space="preserve">результативних показників бюджетної програми за напрямами використання бюджетних коштів (планових, що були затверджені паспортом бюджетної програми на 2022 рік до досягнутих за підсумками  року відповідно до звіту про виконання паспорта бюджетної програми з поясненням причин розбіжностей за кожним показником окремо);стану фінансової дисципліни (дебіторської та кредиторської заборгованостей, зокрема задавнених, із </w:t>
      </w:r>
      <w:proofErr w:type="spellStart"/>
      <w:r w:rsidRPr="00B6326F">
        <w:rPr>
          <w:rFonts w:ascii="Times New Roman" w:eastAsia="Times New Roman" w:hAnsi="Times New Roman" w:cs="Times New Roman"/>
          <w:sz w:val="28"/>
          <w:szCs w:val="28"/>
          <w:lang w:eastAsia="uk-UA"/>
        </w:rPr>
        <w:t>вказанням</w:t>
      </w:r>
      <w:proofErr w:type="spellEnd"/>
      <w:r w:rsidRPr="00B6326F">
        <w:rPr>
          <w:rFonts w:ascii="Times New Roman" w:eastAsia="Times New Roman" w:hAnsi="Times New Roman" w:cs="Times New Roman"/>
          <w:sz w:val="28"/>
          <w:szCs w:val="28"/>
          <w:lang w:eastAsia="uk-UA"/>
        </w:rPr>
        <w:t xml:space="preserve"> причини наявності або збільшення обсягів дебіторської та кредиторської заборгованостей, зокрема задавнених).</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За підсумками проведеної оцінки обов’язково потрібно вказати:</w:t>
      </w:r>
    </w:p>
    <w:p w:rsidR="00B6326F" w:rsidRPr="00B6326F" w:rsidRDefault="00B6326F" w:rsidP="00B6326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обсяги виявлених фінансових порушень, якщо вони були допущені за бюджетною програмою (зокрема тих, що призвели до втрат фінансових і матеріальних ресурсів і тих, що не призвели до втрат фінансових і матеріальних ресурсів);</w:t>
      </w:r>
    </w:p>
    <w:p w:rsidR="00B6326F" w:rsidRPr="00B6326F" w:rsidRDefault="00B6326F" w:rsidP="00B6326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обсяги відшкодованих втрат фінансових і матеріальних ресурсів;</w:t>
      </w:r>
    </w:p>
    <w:p w:rsidR="00B6326F" w:rsidRPr="00B6326F" w:rsidRDefault="00B6326F" w:rsidP="00B6326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обсяги усунутих інших фінансових порушень.</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Сформовані узагальнені результати оцінки бюджетної програми потрібно надати у будь-який можливий спосіб до місцевого фінансового органу до 11 березня 2023 року. При цьому обмін інформацією між місцевим фінорганом та головним розпорядником коштів може відбуватися у тому числі і через ІАС «LOGICA».</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 </w:t>
      </w:r>
    </w:p>
    <w:p w:rsidR="00B6326F" w:rsidRPr="00B6326F" w:rsidRDefault="00B6326F" w:rsidP="00B6326F">
      <w:pPr>
        <w:shd w:val="clear" w:color="auto" w:fill="EEEEEE"/>
        <w:spacing w:after="195" w:line="240" w:lineRule="auto"/>
        <w:jc w:val="both"/>
        <w:rPr>
          <w:rFonts w:ascii="Times New Roman" w:eastAsia="Times New Roman" w:hAnsi="Times New Roman" w:cs="Times New Roman"/>
          <w:i/>
          <w:iCs/>
          <w:sz w:val="28"/>
          <w:szCs w:val="28"/>
          <w:lang w:eastAsia="uk-UA"/>
        </w:rPr>
      </w:pPr>
      <w:r w:rsidRPr="00B6326F">
        <w:rPr>
          <w:rFonts w:ascii="Times New Roman" w:eastAsia="Times New Roman" w:hAnsi="Times New Roman" w:cs="Times New Roman"/>
          <w:b/>
          <w:bCs/>
          <w:i/>
          <w:iCs/>
          <w:sz w:val="28"/>
          <w:szCs w:val="28"/>
          <w:lang w:eastAsia="uk-UA"/>
        </w:rPr>
        <w:t>Нагадування:</w:t>
      </w:r>
      <w:r w:rsidRPr="00B6326F">
        <w:rPr>
          <w:rFonts w:ascii="Times New Roman" w:eastAsia="Times New Roman" w:hAnsi="Times New Roman" w:cs="Times New Roman"/>
          <w:i/>
          <w:iCs/>
          <w:sz w:val="28"/>
          <w:szCs w:val="28"/>
          <w:lang w:eastAsia="uk-UA"/>
        </w:rPr>
        <w:t> До Мінфіну результати оцінки ефективності бюджетних програм місцевими фінорганами </w:t>
      </w:r>
      <w:r w:rsidRPr="00B6326F">
        <w:rPr>
          <w:rFonts w:ascii="Times New Roman" w:eastAsia="Times New Roman" w:hAnsi="Times New Roman" w:cs="Times New Roman"/>
          <w:b/>
          <w:bCs/>
          <w:i/>
          <w:iCs/>
          <w:sz w:val="28"/>
          <w:szCs w:val="28"/>
          <w:lang w:eastAsia="uk-UA"/>
        </w:rPr>
        <w:t>не надсилаються</w:t>
      </w:r>
      <w:r w:rsidRPr="00B6326F">
        <w:rPr>
          <w:rFonts w:ascii="Times New Roman" w:eastAsia="Times New Roman" w:hAnsi="Times New Roman" w:cs="Times New Roman"/>
          <w:i/>
          <w:iCs/>
          <w:sz w:val="28"/>
          <w:szCs w:val="28"/>
          <w:lang w:eastAsia="uk-UA"/>
        </w:rPr>
        <w:t> – це власні документи головного розпорядника коштів і територіальної громади.</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 </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Згідно абзацу 1 пункту 22 розділу VI «Прикінцеві та перехідні положення» </w:t>
      </w:r>
      <w:hyperlink r:id="rId9" w:anchor="Text" w:tgtFrame="_blank" w:history="1">
        <w:r w:rsidRPr="00B6326F">
          <w:rPr>
            <w:rFonts w:ascii="Times New Roman" w:eastAsia="Times New Roman" w:hAnsi="Times New Roman" w:cs="Times New Roman"/>
            <w:sz w:val="28"/>
            <w:szCs w:val="28"/>
            <w:lang w:eastAsia="uk-UA"/>
          </w:rPr>
          <w:t>Бюджетного кодексу України</w:t>
        </w:r>
      </w:hyperlink>
      <w:r w:rsidRPr="00B6326F">
        <w:rPr>
          <w:rFonts w:ascii="Times New Roman" w:eastAsia="Times New Roman" w:hAnsi="Times New Roman" w:cs="Times New Roman"/>
          <w:sz w:val="28"/>
          <w:szCs w:val="28"/>
          <w:lang w:eastAsia="uk-UA"/>
        </w:rPr>
        <w:t>,</w:t>
      </w:r>
      <w:r w:rsidRPr="00B6326F">
        <w:rPr>
          <w:rFonts w:ascii="Times New Roman" w:eastAsia="Times New Roman" w:hAnsi="Times New Roman" w:cs="Times New Roman"/>
          <w:b/>
          <w:bCs/>
          <w:sz w:val="28"/>
          <w:szCs w:val="28"/>
          <w:lang w:eastAsia="uk-UA"/>
        </w:rPr>
        <w:t> </w:t>
      </w:r>
      <w:r w:rsidRPr="00B6326F">
        <w:rPr>
          <w:rFonts w:ascii="Times New Roman" w:eastAsia="Times New Roman" w:hAnsi="Times New Roman" w:cs="Times New Roman"/>
          <w:sz w:val="28"/>
          <w:szCs w:val="28"/>
          <w:lang w:eastAsia="uk-UA"/>
        </w:rPr>
        <w:t>в умовах воєнного стану </w:t>
      </w:r>
      <w:r w:rsidRPr="00B6326F">
        <w:rPr>
          <w:rFonts w:ascii="Times New Roman" w:eastAsia="Times New Roman" w:hAnsi="Times New Roman" w:cs="Times New Roman"/>
          <w:b/>
          <w:bCs/>
          <w:sz w:val="28"/>
          <w:szCs w:val="28"/>
          <w:lang w:eastAsia="uk-UA"/>
        </w:rPr>
        <w:t>не застосовуються</w:t>
      </w:r>
      <w:r w:rsidRPr="00B6326F">
        <w:rPr>
          <w:rFonts w:ascii="Times New Roman" w:eastAsia="Times New Roman" w:hAnsi="Times New Roman" w:cs="Times New Roman"/>
          <w:sz w:val="28"/>
          <w:szCs w:val="28"/>
          <w:lang w:eastAsia="uk-UA"/>
        </w:rPr>
        <w:t> вимоги </w:t>
      </w:r>
      <w:r w:rsidRPr="00B6326F">
        <w:rPr>
          <w:rFonts w:ascii="Times New Roman" w:eastAsia="Times New Roman" w:hAnsi="Times New Roman" w:cs="Times New Roman"/>
          <w:b/>
          <w:bCs/>
          <w:sz w:val="28"/>
          <w:szCs w:val="28"/>
          <w:lang w:eastAsia="uk-UA"/>
        </w:rPr>
        <w:t>частини 5 статті 28</w:t>
      </w:r>
      <w:r w:rsidRPr="00B6326F">
        <w:rPr>
          <w:rFonts w:ascii="Times New Roman" w:eastAsia="Times New Roman" w:hAnsi="Times New Roman" w:cs="Times New Roman"/>
          <w:sz w:val="28"/>
          <w:szCs w:val="28"/>
          <w:lang w:eastAsia="uk-UA"/>
        </w:rPr>
        <w:t> цього Кодексу щодо оприлюднення головними розпорядниками бюджетних коштів результатів оцінки ефективності бюджетних програм за звітний бюджетний період  (у двотижневий строк після подання річної бюджетної звітності).</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Тобто головним розпорядникам коштів бюджетів територіальних громад </w:t>
      </w:r>
      <w:r w:rsidRPr="00B6326F">
        <w:rPr>
          <w:rFonts w:ascii="Times New Roman" w:eastAsia="Times New Roman" w:hAnsi="Times New Roman" w:cs="Times New Roman"/>
          <w:b/>
          <w:bCs/>
          <w:sz w:val="28"/>
          <w:szCs w:val="28"/>
          <w:lang w:eastAsia="uk-UA"/>
        </w:rPr>
        <w:t>не потрібно оприлюднювати результати проведеної оцінки</w:t>
      </w:r>
      <w:r w:rsidRPr="00B6326F">
        <w:rPr>
          <w:rFonts w:ascii="Times New Roman" w:eastAsia="Times New Roman" w:hAnsi="Times New Roman" w:cs="Times New Roman"/>
          <w:sz w:val="28"/>
          <w:szCs w:val="28"/>
          <w:lang w:eastAsia="uk-UA"/>
        </w:rPr>
        <w:t> ефективності бюджетних програм, які виконувалися ними у 2022 році,  оскільки режим дії воєнного стану наразі триває.</w: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Також в умовах воєнного стану з урахуванням не застосування вимог частини 5 статті 28 Бюджетного кодексу України,  головні розпорядники коштів місцевих бюджетів:</w:t>
      </w:r>
    </w:p>
    <w:p w:rsidR="00B6326F" w:rsidRPr="00B6326F" w:rsidRDefault="00B6326F" w:rsidP="00B6326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b/>
          <w:bCs/>
          <w:sz w:val="28"/>
          <w:szCs w:val="28"/>
          <w:lang w:eastAsia="uk-UA"/>
        </w:rPr>
        <w:t>не здійснюють  публічне подання</w:t>
      </w:r>
      <w:r w:rsidRPr="00B6326F">
        <w:rPr>
          <w:rFonts w:ascii="Times New Roman" w:eastAsia="Times New Roman" w:hAnsi="Times New Roman" w:cs="Times New Roman"/>
          <w:sz w:val="28"/>
          <w:szCs w:val="28"/>
          <w:lang w:eastAsia="uk-UA"/>
        </w:rPr>
        <w:t> (до 15 березня року, що настає за звітним) інформації про виконання своїх бюджетних програм,</w:t>
      </w:r>
    </w:p>
    <w:p w:rsidR="00B6326F" w:rsidRPr="00B6326F" w:rsidRDefault="00B6326F" w:rsidP="00B6326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b/>
          <w:bCs/>
          <w:sz w:val="28"/>
          <w:szCs w:val="28"/>
          <w:lang w:eastAsia="uk-UA"/>
        </w:rPr>
        <w:t>не оприлюднюють</w:t>
      </w:r>
      <w:r w:rsidRPr="00B6326F">
        <w:rPr>
          <w:rFonts w:ascii="Times New Roman" w:eastAsia="Times New Roman" w:hAnsi="Times New Roman" w:cs="Times New Roman"/>
          <w:sz w:val="28"/>
          <w:szCs w:val="28"/>
          <w:lang w:eastAsia="uk-UA"/>
        </w:rPr>
        <w:t> іншу інформацію, визначену частиною  5 статті 28 БКУ, а саме: </w:t>
      </w:r>
      <w:r w:rsidRPr="00B6326F">
        <w:rPr>
          <w:rFonts w:ascii="Times New Roman" w:eastAsia="Times New Roman" w:hAnsi="Times New Roman" w:cs="Times New Roman"/>
          <w:b/>
          <w:bCs/>
          <w:sz w:val="28"/>
          <w:szCs w:val="28"/>
          <w:lang w:eastAsia="uk-UA"/>
        </w:rPr>
        <w:t>паспорти бюджетних програм</w:t>
      </w:r>
      <w:r w:rsidRPr="00B6326F">
        <w:rPr>
          <w:rFonts w:ascii="Times New Roman" w:eastAsia="Times New Roman" w:hAnsi="Times New Roman" w:cs="Times New Roman"/>
          <w:sz w:val="28"/>
          <w:szCs w:val="28"/>
          <w:lang w:eastAsia="uk-UA"/>
        </w:rPr>
        <w:t> та </w:t>
      </w:r>
      <w:r w:rsidRPr="00B6326F">
        <w:rPr>
          <w:rFonts w:ascii="Times New Roman" w:eastAsia="Times New Roman" w:hAnsi="Times New Roman" w:cs="Times New Roman"/>
          <w:b/>
          <w:bCs/>
          <w:sz w:val="28"/>
          <w:szCs w:val="28"/>
          <w:lang w:eastAsia="uk-UA"/>
        </w:rPr>
        <w:t>звіти про їх виконання</w:t>
      </w:r>
      <w:r w:rsidRPr="00B6326F">
        <w:rPr>
          <w:rFonts w:ascii="Times New Roman" w:eastAsia="Times New Roman" w:hAnsi="Times New Roman" w:cs="Times New Roman"/>
          <w:sz w:val="28"/>
          <w:szCs w:val="28"/>
          <w:lang w:eastAsia="uk-UA"/>
        </w:rPr>
        <w:t>.</w:t>
      </w:r>
    </w:p>
    <w:p w:rsidR="00B6326F" w:rsidRPr="00B6326F" w:rsidRDefault="001A6D6E" w:rsidP="00B6326F">
      <w:pPr>
        <w:shd w:val="clear" w:color="auto" w:fill="FFFFFF"/>
        <w:spacing w:before="300" w:after="300" w:line="240" w:lineRule="auto"/>
        <w:jc w:val="both"/>
        <w:rPr>
          <w:rFonts w:ascii="Times New Roman" w:eastAsia="Times New Roman" w:hAnsi="Times New Roman" w:cs="Times New Roman"/>
          <w:sz w:val="28"/>
          <w:szCs w:val="28"/>
          <w:lang w:eastAsia="uk-UA"/>
        </w:rPr>
      </w:pPr>
      <w:r w:rsidRPr="001A6D6E">
        <w:rPr>
          <w:rFonts w:ascii="Times New Roman" w:eastAsia="Times New Roman" w:hAnsi="Times New Roman" w:cs="Times New Roman"/>
          <w:sz w:val="28"/>
          <w:szCs w:val="28"/>
          <w:lang w:eastAsia="uk-UA"/>
        </w:rPr>
        <w:lastRenderedPageBreak/>
        <w:pict>
          <v:rect id="_x0000_i1027" style="width:0;height:0" o:hralign="center" o:hrstd="t" o:hr="t" fillcolor="#a0a0a0" stroked="f"/>
        </w:pict>
      </w:r>
    </w:p>
    <w:p w:rsidR="00B6326F" w:rsidRPr="00B6326F" w:rsidRDefault="00B6326F" w:rsidP="00B6326F">
      <w:pPr>
        <w:shd w:val="clear" w:color="auto" w:fill="FFFFFF"/>
        <w:spacing w:after="150"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b/>
          <w:bCs/>
          <w:sz w:val="28"/>
          <w:szCs w:val="28"/>
          <w:lang w:eastAsia="uk-UA"/>
        </w:rPr>
        <w:t>Посилання на НПА та ресурси, що згадані у роз’ясненні</w:t>
      </w:r>
      <w:r w:rsidRPr="00B6326F">
        <w:rPr>
          <w:rFonts w:ascii="Times New Roman" w:eastAsia="Times New Roman" w:hAnsi="Times New Roman" w:cs="Times New Roman"/>
          <w:sz w:val="28"/>
          <w:szCs w:val="28"/>
          <w:lang w:eastAsia="uk-UA"/>
        </w:rPr>
        <w:t>:</w:t>
      </w:r>
    </w:p>
    <w:p w:rsidR="00B6326F" w:rsidRPr="00B6326F" w:rsidRDefault="00B6326F" w:rsidP="00B6326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Бюджетний кодекс України від 08.07.2010 № 2456-VI «Бюджетний кодекс України». Режим доступу: </w:t>
      </w:r>
      <w:hyperlink r:id="rId10" w:anchor="Text" w:tgtFrame="_blank" w:history="1">
        <w:r w:rsidRPr="00B6326F">
          <w:rPr>
            <w:rFonts w:ascii="Times New Roman" w:eastAsia="Times New Roman" w:hAnsi="Times New Roman" w:cs="Times New Roman"/>
            <w:sz w:val="28"/>
            <w:szCs w:val="28"/>
            <w:lang w:eastAsia="uk-UA"/>
          </w:rPr>
          <w:t>https://zakon.rada.gov.ua/laws/show/2456-17/ed20221023#Text</w:t>
        </w:r>
      </w:hyperlink>
    </w:p>
    <w:p w:rsidR="00B6326F" w:rsidRPr="00B6326F" w:rsidRDefault="00B6326F" w:rsidP="00B6326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Режим доступу: </w:t>
      </w:r>
      <w:hyperlink r:id="rId11" w:anchor="Text" w:tgtFrame="_blank" w:history="1">
        <w:r w:rsidRPr="00B6326F">
          <w:rPr>
            <w:rFonts w:ascii="Times New Roman" w:eastAsia="Times New Roman" w:hAnsi="Times New Roman" w:cs="Times New Roman"/>
            <w:sz w:val="28"/>
            <w:szCs w:val="28"/>
            <w:lang w:eastAsia="uk-UA"/>
          </w:rPr>
          <w:t>https://zakon.rada.gov.ua/laws/show/z1103-14#Text</w:t>
        </w:r>
      </w:hyperlink>
    </w:p>
    <w:p w:rsidR="00B6326F" w:rsidRPr="00B6326F" w:rsidRDefault="00B6326F" w:rsidP="00B6326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Постанова Кабінету Міністрів України від 28.02.2000 № 419 «Про затвердження Порядку подання фінансової звітності». Режим доступу: </w:t>
      </w:r>
      <w:hyperlink r:id="rId12" w:anchor="Text" w:tgtFrame="_blank" w:history="1">
        <w:r w:rsidRPr="00B6326F">
          <w:rPr>
            <w:rFonts w:ascii="Times New Roman" w:eastAsia="Times New Roman" w:hAnsi="Times New Roman" w:cs="Times New Roman"/>
            <w:sz w:val="28"/>
            <w:szCs w:val="28"/>
            <w:lang w:eastAsia="uk-UA"/>
          </w:rPr>
          <w:t>https://zakon.rada.gov.ua/laws/show/419-2000-%D0%BF#Text</w:t>
        </w:r>
      </w:hyperlink>
    </w:p>
    <w:p w:rsidR="00B6326F" w:rsidRPr="00B6326F" w:rsidRDefault="00B6326F" w:rsidP="00B6326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Лист Міністерства фінансів України від 19 вересня2023 року «Методика здійснення порівняльного аналізу ефективності бюджетних програм, які виконуються розпорядниками коштів місцевих бюджетів». Режим доступу: </w:t>
      </w:r>
      <w:hyperlink r:id="rId13" w:tgtFrame="_blank" w:history="1">
        <w:r w:rsidRPr="00B6326F">
          <w:rPr>
            <w:rFonts w:ascii="Times New Roman" w:eastAsia="Times New Roman" w:hAnsi="Times New Roman" w:cs="Times New Roman"/>
            <w:sz w:val="28"/>
            <w:szCs w:val="28"/>
            <w:lang w:eastAsia="uk-UA"/>
          </w:rPr>
          <w:t>https://www.ibser.org.ua/sites/default/files/metodyka_zdiysnennya_porivnyalnogo_analizu.pdf</w:t>
        </w:r>
      </w:hyperlink>
    </w:p>
    <w:p w:rsidR="00B6326F" w:rsidRPr="00B6326F" w:rsidRDefault="00B6326F" w:rsidP="00B6326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6326F">
        <w:rPr>
          <w:rFonts w:ascii="Times New Roman" w:eastAsia="Times New Roman" w:hAnsi="Times New Roman" w:cs="Times New Roman"/>
          <w:sz w:val="28"/>
          <w:szCs w:val="28"/>
          <w:lang w:eastAsia="uk-UA"/>
        </w:rPr>
        <w:t>Наказ Міністерства фінансів України № 608  від 17.05.2011 «Про затвердження Методичних рекомендацій щодо здійснення оцінки ефективності бюджетних програм» (</w:t>
      </w:r>
      <w:hyperlink r:id="rId14" w:tgtFrame="_blank" w:history="1">
        <w:r w:rsidRPr="00B6326F">
          <w:rPr>
            <w:rFonts w:ascii="Times New Roman" w:eastAsia="Times New Roman" w:hAnsi="Times New Roman" w:cs="Times New Roman"/>
            <w:sz w:val="28"/>
            <w:szCs w:val="28"/>
            <w:lang w:eastAsia="uk-UA"/>
          </w:rPr>
          <w:t>Із змінами і доповненнями, внесеними наказом  МФУ  від 12 січня 2012 року N 13</w:t>
        </w:r>
      </w:hyperlink>
      <w:r w:rsidRPr="00B6326F">
        <w:rPr>
          <w:rFonts w:ascii="Times New Roman" w:eastAsia="Times New Roman" w:hAnsi="Times New Roman" w:cs="Times New Roman"/>
          <w:sz w:val="28"/>
          <w:szCs w:val="28"/>
          <w:lang w:eastAsia="uk-UA"/>
        </w:rPr>
        <w:t>). Режим доступу: </w:t>
      </w:r>
      <w:hyperlink r:id="rId15" w:anchor="Text" w:tgtFrame="_blank" w:history="1">
        <w:r w:rsidRPr="00B6326F">
          <w:rPr>
            <w:rFonts w:ascii="Times New Roman" w:eastAsia="Times New Roman" w:hAnsi="Times New Roman" w:cs="Times New Roman"/>
            <w:sz w:val="28"/>
            <w:szCs w:val="28"/>
            <w:lang w:eastAsia="uk-UA"/>
          </w:rPr>
          <w:t>https://zakon.rada.gov.ua/rada/show/v0608201-11#Text</w:t>
        </w:r>
      </w:hyperlink>
    </w:p>
    <w:p w:rsidR="004B2FD7" w:rsidRPr="00B6326F" w:rsidRDefault="00724A4B">
      <w:pPr>
        <w:rPr>
          <w:rFonts w:ascii="Times New Roman" w:hAnsi="Times New Roman" w:cs="Times New Roman"/>
          <w:sz w:val="28"/>
          <w:szCs w:val="28"/>
        </w:rPr>
      </w:pPr>
      <w:r w:rsidRPr="00724A4B">
        <w:rPr>
          <w:rFonts w:ascii="Times New Roman" w:hAnsi="Times New Roman" w:cs="Times New Roman"/>
          <w:sz w:val="28"/>
          <w:szCs w:val="28"/>
        </w:rPr>
        <w:t>https://decentralization.gov.ua/news/16084</w:t>
      </w:r>
    </w:p>
    <w:sectPr w:rsidR="004B2FD7" w:rsidRPr="00B6326F" w:rsidSect="00B6326F">
      <w:pgSz w:w="11906" w:h="16838"/>
      <w:pgMar w:top="284"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6E71"/>
    <w:multiLevelType w:val="multilevel"/>
    <w:tmpl w:val="596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A8A"/>
    <w:multiLevelType w:val="multilevel"/>
    <w:tmpl w:val="4918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648D5"/>
    <w:multiLevelType w:val="multilevel"/>
    <w:tmpl w:val="920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D581C"/>
    <w:multiLevelType w:val="multilevel"/>
    <w:tmpl w:val="F9D4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A0329"/>
    <w:multiLevelType w:val="multilevel"/>
    <w:tmpl w:val="CED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7382C"/>
    <w:multiLevelType w:val="multilevel"/>
    <w:tmpl w:val="67F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66A3A"/>
    <w:multiLevelType w:val="multilevel"/>
    <w:tmpl w:val="FBD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26F"/>
    <w:rsid w:val="001A6D6E"/>
    <w:rsid w:val="004B2FD7"/>
    <w:rsid w:val="00724A4B"/>
    <w:rsid w:val="00A14B37"/>
    <w:rsid w:val="00B632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D7"/>
  </w:style>
  <w:style w:type="paragraph" w:styleId="2">
    <w:name w:val="heading 2"/>
    <w:basedOn w:val="a"/>
    <w:link w:val="20"/>
    <w:uiPriority w:val="9"/>
    <w:qFormat/>
    <w:rsid w:val="00B6326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26F"/>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63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6326F"/>
    <w:rPr>
      <w:b/>
      <w:bCs/>
    </w:rPr>
  </w:style>
  <w:style w:type="character" w:styleId="a5">
    <w:name w:val="Hyperlink"/>
    <w:basedOn w:val="a0"/>
    <w:uiPriority w:val="99"/>
    <w:semiHidden/>
    <w:unhideWhenUsed/>
    <w:rsid w:val="00B6326F"/>
    <w:rPr>
      <w:color w:val="0000FF"/>
      <w:u w:val="single"/>
    </w:rPr>
  </w:style>
  <w:style w:type="character" w:styleId="a6">
    <w:name w:val="Emphasis"/>
    <w:basedOn w:val="a0"/>
    <w:uiPriority w:val="20"/>
    <w:qFormat/>
    <w:rsid w:val="00B6326F"/>
    <w:rPr>
      <w:i/>
      <w:iCs/>
    </w:rPr>
  </w:style>
</w:styles>
</file>

<file path=word/webSettings.xml><?xml version="1.0" encoding="utf-8"?>
<w:webSettings xmlns:r="http://schemas.openxmlformats.org/officeDocument/2006/relationships" xmlns:w="http://schemas.openxmlformats.org/wordprocessingml/2006/main">
  <w:divs>
    <w:div w:id="140662075">
      <w:bodyDiv w:val="1"/>
      <w:marLeft w:val="0"/>
      <w:marRight w:val="0"/>
      <w:marTop w:val="0"/>
      <w:marBottom w:val="0"/>
      <w:divBdr>
        <w:top w:val="none" w:sz="0" w:space="0" w:color="auto"/>
        <w:left w:val="none" w:sz="0" w:space="0" w:color="auto"/>
        <w:bottom w:val="none" w:sz="0" w:space="0" w:color="auto"/>
        <w:right w:val="none" w:sz="0" w:space="0" w:color="auto"/>
      </w:divBdr>
      <w:divsChild>
        <w:div w:id="1790279603">
          <w:blockQuote w:val="1"/>
          <w:marLeft w:val="600"/>
          <w:marRight w:val="600"/>
          <w:marTop w:val="195"/>
          <w:marBottom w:val="195"/>
          <w:divBdr>
            <w:top w:val="single" w:sz="2" w:space="14" w:color="CCCCCC"/>
            <w:left w:val="single" w:sz="36" w:space="14" w:color="CCCCCC"/>
            <w:bottom w:val="single" w:sz="2" w:space="14" w:color="CCCCCC"/>
            <w:right w:val="single" w:sz="2" w:space="14"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608201-11" TargetMode="External"/><Relationship Id="rId13" Type="http://schemas.openxmlformats.org/officeDocument/2006/relationships/hyperlink" Target="https://www.ibser.org.ua/sites/default/files/metodyka_zdiysnennya_porivnyalnogo_analizu.pdf" TargetMode="External"/><Relationship Id="rId3" Type="http://schemas.openxmlformats.org/officeDocument/2006/relationships/settings" Target="settings.xml"/><Relationship Id="rId7" Type="http://schemas.openxmlformats.org/officeDocument/2006/relationships/hyperlink" Target="https://www.ibser.org.ua/sites/default/files/metodyka_zdiysnennya_porivnyalnogo_analizu.pdf" TargetMode="External"/><Relationship Id="rId12" Type="http://schemas.openxmlformats.org/officeDocument/2006/relationships/hyperlink" Target="https://zakon.rada.gov.ua/laws/show/419-2000-%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419-2000-%D0%BF" TargetMode="External"/><Relationship Id="rId11" Type="http://schemas.openxmlformats.org/officeDocument/2006/relationships/hyperlink" Target="https://zakon.rada.gov.ua/laws/show/z1103-14" TargetMode="External"/><Relationship Id="rId5" Type="http://schemas.openxmlformats.org/officeDocument/2006/relationships/hyperlink" Target="https://zakon.rada.gov.ua/laws/show/z1103-14" TargetMode="External"/><Relationship Id="rId15" Type="http://schemas.openxmlformats.org/officeDocument/2006/relationships/hyperlink" Target="https://zakon.rada.gov.ua/rada/show/v0608201-11" TargetMode="External"/><Relationship Id="rId10" Type="http://schemas.openxmlformats.org/officeDocument/2006/relationships/hyperlink" Target="https://zakon.rada.gov.ua/laws/show/2456-17/ed20221023" TargetMode="External"/><Relationship Id="rId4" Type="http://schemas.openxmlformats.org/officeDocument/2006/relationships/webSettings" Target="webSettings.xml"/><Relationship Id="rId9" Type="http://schemas.openxmlformats.org/officeDocument/2006/relationships/hyperlink" Target="https://zakon.rada.gov.ua/laws/show/2456-17" TargetMode="External"/><Relationship Id="rId14" Type="http://schemas.openxmlformats.org/officeDocument/2006/relationships/hyperlink" Target="https://ips.ligazakon.net/document/view/MF12027?ed=2012_01_12&amp;an=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5879</Words>
  <Characters>3352</Characters>
  <Application>Microsoft Office Word</Application>
  <DocSecurity>0</DocSecurity>
  <Lines>27</Lines>
  <Paragraphs>18</Paragraphs>
  <ScaleCrop>false</ScaleCrop>
  <Company>diakov.net</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2023-02-07T09:08:00Z</dcterms:created>
  <dcterms:modified xsi:type="dcterms:W3CDTF">2023-02-07T09:17:00Z</dcterms:modified>
</cp:coreProperties>
</file>