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rPr>
          <w:rFonts w:ascii="Times New Roman" w:hAnsi="Times New Roman" w:cs="Times New Roman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 І Ж И Н С Ь К А  М І С Ь К А  Р А Д 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pict>
          <v:line id="_x0000_s1026" o:spid="_x0000_s1026" o:spt="20" style="position:absolute;left:0pt;margin-left:2.95pt;margin-top:3.8pt;height:0pt;width:476.5pt;z-index:251659264;mso-width-relative:page;mso-height-relative:page;" coordsize="21600,21600">
            <v:path arrowok="t"/>
            <v:fill focussize="0,0"/>
            <v:stroke weight="4.5pt" linestyle="thickThin"/>
            <v:imagedata o:title=""/>
            <o:lock v:ext="edit"/>
          </v:line>
        </w:pict>
      </w:r>
    </w:p>
    <w:p>
      <w:pPr>
        <w:spacing w:after="0"/>
        <w:jc w:val="center"/>
        <w:rPr>
          <w:rFonts w:ascii="Times New Roman" w:hAnsi="Times New Roman" w:cs="Times New Roman"/>
          <w:sz w:val="20"/>
          <w:lang w:val="en-US"/>
        </w:rPr>
      </w:pPr>
      <w:r>
        <w:rPr>
          <w:rFonts w:ascii="Times New Roman" w:hAnsi="Times New Roman" w:cs="Times New Roman"/>
          <w:sz w:val="20"/>
        </w:rPr>
        <w:t xml:space="preserve">пл. імені Івана Франка, 1, м. Ніжин, 16600, тел. </w:t>
      </w:r>
      <w:r>
        <w:rPr>
          <w:rFonts w:ascii="Times New Roman" w:hAnsi="Times New Roman" w:cs="Times New Roman"/>
          <w:sz w:val="20"/>
          <w:lang w:val="en-US"/>
        </w:rPr>
        <w:t xml:space="preserve">(04631)7-12-59, </w:t>
      </w:r>
      <w:r>
        <w:rPr>
          <w:rFonts w:ascii="Times New Roman" w:hAnsi="Times New Roman" w:cs="Times New Roman"/>
          <w:sz w:val="20"/>
        </w:rPr>
        <w:t>е</w:t>
      </w:r>
      <w:r>
        <w:rPr>
          <w:rFonts w:ascii="Times New Roman" w:hAnsi="Times New Roman" w:cs="Times New Roman"/>
          <w:sz w:val="20"/>
          <w:lang w:val="en-US"/>
        </w:rPr>
        <w:t xml:space="preserve">-mail: </w:t>
      </w:r>
      <w:r>
        <w:fldChar w:fldCharType="begin"/>
      </w:r>
      <w:r>
        <w:instrText xml:space="preserve"> HYPERLINK "mailto:nemrada_post@cg.gov.ua"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0"/>
          <w:lang w:val="en-US"/>
        </w:rPr>
        <w:t>nemrada_post@cg.gov.ua</w:t>
      </w:r>
      <w:r>
        <w:rPr>
          <w:rStyle w:val="4"/>
          <w:rFonts w:ascii="Times New Roman" w:hAnsi="Times New Roman" w:cs="Times New Roman"/>
          <w:sz w:val="20"/>
          <w:lang w:val="en-US"/>
        </w:rPr>
        <w:fldChar w:fldCharType="end"/>
      </w:r>
    </w:p>
    <w:p>
      <w:pPr>
        <w:spacing w:after="0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сайт: </w:t>
      </w:r>
      <w:r>
        <w:fldChar w:fldCharType="begin"/>
      </w:r>
      <w:r>
        <w:instrText xml:space="preserve"> HYPERLINK "https://nizhynrada.gov.ua"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0"/>
          <w:lang w:val="en-US"/>
        </w:rPr>
        <w:t>https</w:t>
      </w:r>
      <w:r>
        <w:rPr>
          <w:rStyle w:val="4"/>
          <w:rFonts w:ascii="Times New Roman" w:hAnsi="Times New Roman" w:cs="Times New Roman"/>
          <w:sz w:val="20"/>
        </w:rPr>
        <w:t>://</w:t>
      </w:r>
      <w:r>
        <w:rPr>
          <w:rStyle w:val="4"/>
          <w:rFonts w:ascii="Times New Roman" w:hAnsi="Times New Roman" w:cs="Times New Roman"/>
          <w:sz w:val="20"/>
          <w:lang w:val="en-US"/>
        </w:rPr>
        <w:t>nizhynrada</w:t>
      </w:r>
      <w:r>
        <w:rPr>
          <w:rStyle w:val="4"/>
          <w:rFonts w:ascii="Times New Roman" w:hAnsi="Times New Roman" w:cs="Times New Roman"/>
          <w:sz w:val="20"/>
        </w:rPr>
        <w:t>.</w:t>
      </w:r>
      <w:r>
        <w:rPr>
          <w:rStyle w:val="4"/>
          <w:rFonts w:ascii="Times New Roman" w:hAnsi="Times New Roman" w:cs="Times New Roman"/>
          <w:sz w:val="20"/>
          <w:lang w:val="en-US"/>
        </w:rPr>
        <w:t>gov</w:t>
      </w:r>
      <w:r>
        <w:rPr>
          <w:rStyle w:val="4"/>
          <w:rFonts w:ascii="Times New Roman" w:hAnsi="Times New Roman" w:cs="Times New Roman"/>
          <w:sz w:val="20"/>
        </w:rPr>
        <w:t>.</w:t>
      </w:r>
      <w:r>
        <w:rPr>
          <w:rStyle w:val="4"/>
          <w:rFonts w:ascii="Times New Roman" w:hAnsi="Times New Roman" w:cs="Times New Roman"/>
          <w:sz w:val="20"/>
          <w:lang w:val="en-US"/>
        </w:rPr>
        <w:t>ua</w:t>
      </w:r>
      <w:r>
        <w:rPr>
          <w:rStyle w:val="4"/>
          <w:rFonts w:ascii="Times New Roman" w:hAnsi="Times New Roman" w:cs="Times New Roman"/>
          <w:sz w:val="20"/>
          <w:lang w:val="en-US"/>
        </w:rPr>
        <w:fldChar w:fldCharType="end"/>
      </w:r>
      <w:r>
        <w:rPr>
          <w:rFonts w:ascii="Times New Roman" w:hAnsi="Times New Roman" w:cs="Times New Roman"/>
          <w:sz w:val="20"/>
        </w:rPr>
        <w:t>код згідно з ЄДРПОУ 04061783</w:t>
      </w:r>
    </w:p>
    <w:p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________________№_________На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№______________від_________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Style w:val="8"/>
          <w:color w:val="000000"/>
          <w:sz w:val="28"/>
          <w:szCs w:val="28"/>
          <w:lang w:val="uk-UA" w:eastAsia="uk-UA"/>
        </w:rPr>
        <w:t xml:space="preserve"> </w:t>
      </w:r>
    </w:p>
    <w:p>
      <w:pPr>
        <w:spacing w:after="0"/>
        <w:jc w:val="right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Народному депутату України</w:t>
      </w:r>
    </w:p>
    <w:p>
      <w:pPr>
        <w:tabs>
          <w:tab w:val="center" w:pos="5102"/>
          <w:tab w:val="left" w:pos="7935"/>
        </w:tabs>
        <w:snapToGrid w:val="0"/>
        <w:ind w:firstLine="567"/>
        <w:jc w:val="center"/>
        <w:rPr>
          <w:rFonts w:hint="default" w:ascii="Times New Roman" w:hAnsi="Times New Roman" w:cs="Times New Roman"/>
          <w:b w:val="0"/>
          <w:bCs/>
          <w:i w:val="0"/>
          <w:iCs/>
          <w:sz w:val="28"/>
          <w:szCs w:val="28"/>
          <w:lang w:val="uk-UA"/>
        </w:rPr>
      </w:pPr>
      <w:r>
        <w:rPr>
          <w:rFonts w:hint="default" w:ascii="Times New Roman" w:hAnsi="Times New Roman"/>
          <w:b w:val="0"/>
          <w:bCs/>
          <w:sz w:val="28"/>
          <w:szCs w:val="28"/>
          <w:lang w:val="uk-UA"/>
        </w:rPr>
        <w:t xml:space="preserve">                                                                                          Валерію ДУБІЛЮ</w:t>
      </w:r>
      <w:r>
        <w:rPr>
          <w:rFonts w:hint="default" w:ascii="Times New Roman" w:hAnsi="Times New Roman" w:cs="Times New Roman"/>
          <w:b w:val="0"/>
          <w:bCs/>
          <w:i w:val="0"/>
          <w:iCs/>
          <w:sz w:val="28"/>
          <w:szCs w:val="28"/>
          <w:lang w:val="uk-UA"/>
        </w:rPr>
        <w:t xml:space="preserve">       </w:t>
      </w:r>
      <w:r>
        <w:rPr>
          <w:rFonts w:hint="default" w:ascii="Times New Roman" w:hAnsi="Times New Roman" w:cs="Times New Roman"/>
          <w:b/>
          <w:bCs w:val="0"/>
          <w:i w:val="0"/>
          <w:iCs/>
          <w:sz w:val="28"/>
          <w:szCs w:val="28"/>
          <w:lang w:val="uk-UA"/>
        </w:rPr>
        <w:t xml:space="preserve"> Шановний  Валерію Олександровичу</w:t>
      </w:r>
      <w:bookmarkStart w:id="0" w:name="_GoBack"/>
      <w:bookmarkEnd w:id="0"/>
      <w:r>
        <w:rPr>
          <w:rFonts w:hint="default" w:ascii="Times New Roman" w:hAnsi="Times New Roman" w:cs="Times New Roman"/>
          <w:b/>
          <w:bCs w:val="0"/>
          <w:i w:val="0"/>
          <w:iCs/>
          <w:sz w:val="28"/>
          <w:szCs w:val="28"/>
          <w:lang w:val="uk-UA"/>
        </w:rPr>
        <w:t xml:space="preserve"> !         </w:t>
      </w:r>
      <w:r>
        <w:rPr>
          <w:rFonts w:hint="default" w:ascii="Times New Roman" w:hAnsi="Times New Roman" w:cs="Times New Roman"/>
          <w:b w:val="0"/>
          <w:bCs/>
          <w:i w:val="0"/>
          <w:iCs/>
          <w:sz w:val="28"/>
          <w:szCs w:val="28"/>
          <w:lang w:val="uk-UA"/>
        </w:rPr>
        <w:t xml:space="preserve">                                                  </w:t>
      </w:r>
    </w:p>
    <w:p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>
      <w:pPr>
        <w:spacing w:after="12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Депутати Ніжинської територіальної громади звертаються до Вас з проханням щодо недопущення прийняття рішень, результатом яких стане </w:t>
      </w:r>
      <w:r>
        <w:rPr>
          <w:rFonts w:ascii="Times New Roman" w:hAnsi="Times New Roman" w:eastAsia="Times New Roman"/>
          <w:b/>
          <w:iCs/>
          <w:color w:val="222222"/>
          <w:sz w:val="28"/>
          <w:szCs w:val="28"/>
          <w:lang w:eastAsia="uk-UA"/>
        </w:rPr>
        <w:t>згортання реформи децентралізації</w:t>
      </w:r>
      <w:r>
        <w:rPr>
          <w:rFonts w:ascii="Times New Roman" w:hAnsi="Times New Roman"/>
          <w:b/>
          <w:bCs/>
          <w:sz w:val="28"/>
          <w:szCs w:val="28"/>
        </w:rPr>
        <w:t xml:space="preserve">, погіршення фінансової спроможності та життєдіяльності територіальних громад, втрата їх самостійності, що є прямим і грубим порушенням </w:t>
      </w:r>
      <w:r>
        <w:rPr>
          <w:rFonts w:ascii="Times New Roman" w:hAnsi="Times New Roman"/>
          <w:b/>
          <w:sz w:val="28"/>
          <w:szCs w:val="28"/>
        </w:rPr>
        <w:t>Конституції України, Закону України «Про місцеве самоврядування в Україні», Бюджетного кодексу України.</w:t>
      </w:r>
    </w:p>
    <w:p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 вересня 2021 року Уряд разом із проектом Держбюджету на 2022 рік (№ 6000) подав зміни до Бюджетного кодексу України (№ 6062). </w:t>
      </w:r>
    </w:p>
    <w:p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Саме </w:t>
      </w:r>
      <w:r>
        <w:rPr>
          <w:rFonts w:ascii="Times New Roman" w:hAnsi="Times New Roman" w:eastAsia="Times New Roman"/>
          <w:sz w:val="28"/>
          <w:szCs w:val="28"/>
          <w:lang w:eastAsia="uk-UA"/>
        </w:rPr>
        <w:t>до даного законопроекту є низка зауважень.</w:t>
      </w:r>
    </w:p>
    <w:p>
      <w:pPr>
        <w:spacing w:after="12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Законопроект № 6062 передбачає:</w:t>
      </w:r>
    </w:p>
    <w:p>
      <w:pPr>
        <w:spacing w:after="12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1) ліквідацію бюджету розвитку </w:t>
      </w:r>
    </w:p>
    <w:p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 розвитку – це складова спеціального фонду місцевого бюджету. Органи місцевого самоврядування (ОМС) з бюджету розвитку здійснюють видатки на соціально-економічний розвиток, виконання інвестиційних програм, будівництво, капітальний ремонт та реконструкцію об’єктів соціально-культурної сфери та житлово-комунального господарства тощо. </w:t>
      </w:r>
    </w:p>
    <w:p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Наслідки змін: </w:t>
      </w:r>
      <w:r>
        <w:rPr>
          <w:rFonts w:ascii="Times New Roman" w:hAnsi="Times New Roman"/>
          <w:sz w:val="28"/>
          <w:szCs w:val="28"/>
        </w:rPr>
        <w:t xml:space="preserve">ліквідація бюджету розвитку – це: </w:t>
      </w:r>
    </w:p>
    <w:p>
      <w:pPr>
        <w:pStyle w:val="15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скорочення капітальних видатків місцевих бюджетів, зокрема, для Ніжинської громади – це 7,6 млн. грн.;</w:t>
      </w:r>
    </w:p>
    <w:p>
      <w:pPr>
        <w:pStyle w:val="15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загрози додаткового навантаження на ОМС в частині фінансування делегованих повноважень (зокрема, у сфері освіти, охорони здоров’я та соціального захисту);</w:t>
      </w:r>
    </w:p>
    <w:p>
      <w:pPr>
        <w:pStyle w:val="15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встановлення нерівних умов для учасників бюджетного процесу в частині фінансової автономії. </w:t>
      </w:r>
    </w:p>
    <w:p>
      <w:pPr>
        <w:spacing w:after="12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2) вилучення у місцевих бюджетів на користь держбюджету залишків освітньої субвенції (зміни до статті 103-2) </w:t>
      </w:r>
    </w:p>
    <w:p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Залишки освітньої субвенції є мотивацією до оптимізації мережі закладів освіти. </w:t>
      </w:r>
    </w:p>
    <w:p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рахунок економії бюджетних коштів внаслідок проведення оптимізації ОМС спрямовують залишки освітньої субвенції на реконструкцію закладів загальної середньої освіти, покращення матеріально-технічного оснащення класів (облаштування класів фізики, хімії; STEM обладнання), закупівлю шкільних автобусів, заходи протипожежної безпеки та ін.</w:t>
      </w:r>
    </w:p>
    <w:p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Наслідки змін:</w:t>
      </w:r>
      <w:r>
        <w:rPr>
          <w:rFonts w:ascii="Times New Roman" w:hAnsi="Times New Roman"/>
          <w:sz w:val="28"/>
          <w:szCs w:val="28"/>
        </w:rPr>
        <w:t xml:space="preserve"> вилучення залишків освітньої субвенції – це: </w:t>
      </w:r>
    </w:p>
    <w:p>
      <w:pPr>
        <w:pStyle w:val="15"/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скасування дієвого фінансового інструменту з оптимізації мережі закладів освіти; </w:t>
      </w:r>
    </w:p>
    <w:p>
      <w:pPr>
        <w:pStyle w:val="15"/>
        <w:numPr>
          <w:ilvl w:val="0"/>
          <w:numId w:val="1"/>
        </w:numPr>
        <w:spacing w:after="12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позбавлення зекономленого управлінням освіти Ніжинської міської ради фінансового ресурсу в розмірі 1,5 млн. грн. </w:t>
      </w:r>
    </w:p>
    <w:p>
      <w:pPr>
        <w:spacing w:after="12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3) надання Міністерству фінансів України та місцевим державним адміністраціям права ініціювати зупинку рішення про місцевий бюджет </w:t>
      </w:r>
      <w:r>
        <w:rPr>
          <w:rFonts w:ascii="Times New Roman" w:hAnsi="Times New Roman"/>
          <w:sz w:val="28"/>
          <w:szCs w:val="28"/>
        </w:rPr>
        <w:t xml:space="preserve">до закінчення судового розгляду справи </w:t>
      </w:r>
      <w:r>
        <w:rPr>
          <w:rFonts w:ascii="Times New Roman" w:hAnsi="Times New Roman"/>
          <w:b/>
          <w:bCs/>
          <w:sz w:val="28"/>
          <w:szCs w:val="28"/>
        </w:rPr>
        <w:t xml:space="preserve">(зміни до ст.122) </w:t>
      </w:r>
    </w:p>
    <w:p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Такі зміни – пряме втручання держави у самостійність місцевого самоврядування і  неприпустиме порушення ст.142, 145 Конституції України, ст.4, 61 Закону України «Про місцеве самоврядування в Україні», ст.7, 71 Бюджетного кодексу України. </w:t>
      </w:r>
    </w:p>
    <w:p>
      <w:pPr>
        <w:pStyle w:val="15"/>
        <w:spacing w:after="120" w:line="24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Наслідки змін:</w:t>
      </w:r>
      <w:r>
        <w:rPr>
          <w:rFonts w:ascii="Times New Roman" w:hAnsi="Times New Roman"/>
          <w:sz w:val="28"/>
          <w:szCs w:val="28"/>
        </w:rPr>
        <w:t xml:space="preserve"> розширення  контрольних  функцій Міністерства фінансів  України  та  місцевих  державних  адміністрацій призведе до: </w:t>
      </w:r>
    </w:p>
    <w:p>
      <w:pPr>
        <w:pStyle w:val="15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зупинки рішення про місцевий бюджет з незалежних від органу місцевого самоврядування причин; </w:t>
      </w:r>
    </w:p>
    <w:p>
      <w:pPr>
        <w:pStyle w:val="15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блокування роботи виконавчих органів місцевої ради;</w:t>
      </w:r>
    </w:p>
    <w:p>
      <w:pPr>
        <w:pStyle w:val="15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загрози забезпеченню життєдіяльності громад у зв’язку з неможливістю фінансування їх потреб; </w:t>
      </w:r>
    </w:p>
    <w:p>
      <w:pPr>
        <w:pStyle w:val="15"/>
        <w:numPr>
          <w:ilvl w:val="0"/>
          <w:numId w:val="2"/>
        </w:numPr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неможливості жителями громад отримати гарантовані державою послуги. </w:t>
      </w:r>
    </w:p>
    <w:p>
      <w:pPr>
        <w:spacing w:after="12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4) загрози погашення середньострокових позик за рахунок коштів місцевих бюджетів (зміни до п.21 Прикінцевих та перехідні положень) </w:t>
      </w:r>
    </w:p>
    <w:p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Законопроект передбачає надати повноваження Кабінету Міністрів України  визначати порядок погашення середньострокових позик органами місцевого самоврядування. Заборгованість бюджету Ніжинської міської територіальної громади  в сумі 7,0 млн. грн. за середньостроковими позиками склалася у 2012–2013 роках і виникла через неправильне планування державними органами видатків з делегованих повноважень. Міська рада була змушена для виправлення прорахунків Мінфіну запозичувати кошти для забезпечення виплати заробітної плати працівникам бюджетної сфери і недопущення кредиторської заборгованості.  </w:t>
      </w:r>
    </w:p>
    <w:p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Наслідки змін: </w:t>
      </w:r>
      <w:r>
        <w:rPr>
          <w:rFonts w:ascii="Times New Roman" w:hAnsi="Times New Roman"/>
          <w:sz w:val="28"/>
          <w:szCs w:val="28"/>
        </w:rPr>
        <w:t xml:space="preserve">бюджет  нашої громади  втратить 7,0 млн. грн., що призведе до його розбалансування   та погіршення  фінансової спроможності.  </w:t>
      </w:r>
    </w:p>
    <w:p>
      <w:pPr>
        <w:spacing w:after="12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5) зарахування до держбюджету доходів від викупу земельних ділянок комунальної власності (зміни до Прикінцевих та перехідні положень) </w:t>
      </w:r>
    </w:p>
    <w:p>
      <w:pPr>
        <w:spacing w:after="12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Законопроект №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iCs/>
          <w:sz w:val="28"/>
          <w:szCs w:val="28"/>
        </w:rPr>
        <w:t xml:space="preserve">6062 пропонує 70% надходжень від викупу земельних ділянок комунальної власності зараховувати до держбюджету. Такі ініціативи є неприпустимими. </w:t>
      </w:r>
    </w:p>
    <w:p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Наслідки змін: </w:t>
      </w:r>
      <w:r>
        <w:rPr>
          <w:rFonts w:ascii="Times New Roman" w:hAnsi="Times New Roman"/>
          <w:sz w:val="28"/>
          <w:szCs w:val="28"/>
        </w:rPr>
        <w:t xml:space="preserve">втрата щорічно бюджетом Ніжинської громади  частини доходу від викупу земельних ділянок комунальної власності в сумі 3,0-4,0 млн. грн.. </w:t>
      </w:r>
    </w:p>
    <w:p>
      <w:pPr>
        <w:spacing w:after="12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6) ускладнення процедур проведення внутрішнього аудиту  (зміни до ст.26)</w:t>
      </w:r>
    </w:p>
    <w:p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Розпорядники бюджетних коштів в особі їх керівників організовують внутрішній контроль і внутрішній аудит. Розпорядниками бюджетних коштів є, зокрема, виконавчі органи сільських, селищних, міських рад, бюджетні установи: школи, садочки, лікарні тощо. </w:t>
      </w:r>
    </w:p>
    <w:p>
      <w:pPr>
        <w:spacing w:after="12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Законопроект № 6062 пропонує запровадити сертифікацію працівників підрозділів внутрішнього аудиту та надати Мінфіну повноваження здійснювати координацію діяльності підрозділів внутрішнього аудиту. </w:t>
      </w:r>
    </w:p>
    <w:p>
      <w:pPr>
        <w:spacing w:after="12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Наслідки змін: </w:t>
      </w:r>
      <w:r>
        <w:rPr>
          <w:rFonts w:ascii="Times New Roman" w:hAnsi="Times New Roman"/>
          <w:bCs/>
          <w:sz w:val="28"/>
          <w:szCs w:val="28"/>
        </w:rPr>
        <w:t>ускладнення процедур проведення внутрішнього аудиту - це:</w:t>
      </w:r>
    </w:p>
    <w:p>
      <w:pPr>
        <w:pStyle w:val="15"/>
        <w:numPr>
          <w:ilvl w:val="0"/>
          <w:numId w:val="3"/>
        </w:numPr>
        <w:spacing w:after="12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надмірні, необґрунтовані та корупційно вразливі ініціативи;</w:t>
      </w:r>
    </w:p>
    <w:p>
      <w:pPr>
        <w:pStyle w:val="15"/>
        <w:numPr>
          <w:ilvl w:val="0"/>
          <w:numId w:val="3"/>
        </w:numPr>
        <w:spacing w:after="12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обмеження самостійності в управлінні виконавчих органів місцевих рад та бюджетних установ комунальної власності.</w:t>
      </w:r>
    </w:p>
    <w:p>
      <w:pPr>
        <w:pStyle w:val="15"/>
        <w:spacing w:after="12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>
      <w:pPr>
        <w:pStyle w:val="15"/>
        <w:spacing w:after="12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Просимо Вас не приймати рішення, які матимуть вкрай негативні наслідки для всіх без виключення територіальних громад України, підтримати життєдіяльність нашої громади на майбутнє та не голосувати позиції, викладені у зверненні.</w:t>
      </w:r>
    </w:p>
    <w:p>
      <w:pPr>
        <w:pStyle w:val="15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pStyle w:val="15"/>
        <w:spacing w:after="200" w:line="240" w:lineRule="auto"/>
        <w:ind w:left="0" w:firstLine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Крім того, при  доопрацюванні  до  другого  читання  проекту  Закону  України     «Про  Державний  бюджет  України  на  2022 рік»  № 6000  просимо врахувати  такі   пропозиції:</w:t>
      </w:r>
    </w:p>
    <w:p>
      <w:pPr>
        <w:pStyle w:val="15"/>
        <w:numPr>
          <w:ilvl w:val="0"/>
          <w:numId w:val="3"/>
        </w:numPr>
        <w:spacing w:after="200" w:line="24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Забезпечити  зарахування  до  бюджетів  місцевого  самоврядування  65%   ПДФО;</w:t>
      </w:r>
    </w:p>
    <w:p>
      <w:pPr>
        <w:pStyle w:val="15"/>
        <w:numPr>
          <w:ilvl w:val="0"/>
          <w:numId w:val="3"/>
        </w:numPr>
        <w:spacing w:after="200" w:line="240" w:lineRule="auto"/>
        <w:ind w:left="0" w:firstLine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Збільшити  обсяг  додаткової  дотації  на  здійснення  переданих з  державного  бюджету  видатків  з  утримання  закладів  освіти  та  охорони  здоров’я;</w:t>
      </w:r>
    </w:p>
    <w:p>
      <w:pPr>
        <w:pStyle w:val="15"/>
        <w:numPr>
          <w:ilvl w:val="0"/>
          <w:numId w:val="3"/>
        </w:numPr>
        <w:spacing w:after="200" w:line="240" w:lineRule="auto"/>
        <w:ind w:left="0" w:firstLine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Забезпечити  стабілізаційну  дотацію громадам;</w:t>
      </w:r>
    </w:p>
    <w:p>
      <w:pPr>
        <w:pStyle w:val="15"/>
        <w:numPr>
          <w:ilvl w:val="0"/>
          <w:numId w:val="3"/>
        </w:numPr>
        <w:spacing w:after="200" w:line="240" w:lineRule="auto"/>
        <w:ind w:left="0" w:firstLine="83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Передбачити в державному бюджеті субвенцію місцевим бюджетам на  погашення заборгованості з різниці в тарифах на житлово-комунальні послуги, яка виникла протягом 2016-2019 років через рішення держави про підняття цін на природний газ, збільшення мінімальної заробітної плати без перегляду цін на послуги теплопостачання, запровадження ринку електричної енергії.</w:t>
      </w:r>
    </w:p>
    <w:p>
      <w:pPr>
        <w:pStyle w:val="15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pStyle w:val="15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>
      <w:pPr>
        <w:pStyle w:val="9"/>
        <w:shd w:val="clear" w:color="auto" w:fill="auto"/>
        <w:spacing w:line="360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  <w:lang w:val="uk-UA"/>
        </w:rPr>
        <w:t>Прийнято на засіданні  1</w:t>
      </w:r>
      <w:r>
        <w:rPr>
          <w:rFonts w:hint="default"/>
          <w:b w:val="0"/>
          <w:sz w:val="28"/>
          <w:szCs w:val="28"/>
          <w:lang w:val="uk-UA"/>
        </w:rPr>
        <w:t>5</w:t>
      </w:r>
      <w:r>
        <w:rPr>
          <w:b w:val="0"/>
          <w:sz w:val="28"/>
          <w:szCs w:val="28"/>
          <w:lang w:val="uk-UA"/>
        </w:rPr>
        <w:t xml:space="preserve">-ї чергової сесії   </w:t>
      </w:r>
    </w:p>
    <w:p>
      <w:pPr>
        <w:pStyle w:val="9"/>
        <w:shd w:val="clear" w:color="auto" w:fill="auto"/>
        <w:spacing w:line="360" w:lineRule="auto"/>
        <w:rPr>
          <w:b w:val="0"/>
          <w:sz w:val="28"/>
          <w:szCs w:val="28"/>
          <w:lang w:val="uk-UA"/>
        </w:rPr>
      </w:pPr>
      <w:r>
        <w:rPr>
          <w:b w:val="0"/>
          <w:sz w:val="28"/>
          <w:szCs w:val="28"/>
          <w:lang w:val="uk-UA"/>
        </w:rPr>
        <w:t xml:space="preserve">Ніжинської міської ради </w:t>
      </w:r>
      <w:r>
        <w:rPr>
          <w:b w:val="0"/>
          <w:sz w:val="28"/>
          <w:szCs w:val="28"/>
          <w:lang w:val="en-US"/>
        </w:rPr>
        <w:t>VIII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uk-UA"/>
        </w:rPr>
        <w:t>скликання</w:t>
      </w:r>
      <w:r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  <w:lang w:val="uk-UA"/>
        </w:rPr>
        <w:t xml:space="preserve"> </w:t>
      </w:r>
      <w:r>
        <w:rPr>
          <w:rFonts w:hint="default"/>
          <w:b w:val="0"/>
          <w:sz w:val="28"/>
          <w:szCs w:val="28"/>
          <w:lang w:val="uk-UA"/>
        </w:rPr>
        <w:t>26</w:t>
      </w:r>
      <w:r>
        <w:rPr>
          <w:b w:val="0"/>
          <w:sz w:val="28"/>
          <w:szCs w:val="28"/>
          <w:lang w:val="uk-UA"/>
        </w:rPr>
        <w:t>.</w:t>
      </w:r>
      <w:r>
        <w:rPr>
          <w:rFonts w:hint="default"/>
          <w:b w:val="0"/>
          <w:sz w:val="28"/>
          <w:szCs w:val="28"/>
          <w:lang w:val="uk-UA"/>
        </w:rPr>
        <w:t>10</w:t>
      </w:r>
      <w:r>
        <w:rPr>
          <w:b w:val="0"/>
          <w:sz w:val="28"/>
          <w:szCs w:val="28"/>
        </w:rPr>
        <w:t>.</w:t>
      </w:r>
      <w:r>
        <w:rPr>
          <w:b w:val="0"/>
          <w:sz w:val="28"/>
          <w:szCs w:val="28"/>
          <w:lang w:val="uk-UA"/>
        </w:rPr>
        <w:t>2021 року</w:t>
      </w:r>
    </w:p>
    <w:p>
      <w:pPr>
        <w:pStyle w:val="9"/>
        <w:shd w:val="clear" w:color="auto" w:fill="auto"/>
        <w:spacing w:line="276" w:lineRule="auto"/>
        <w:rPr>
          <w:b w:val="0"/>
          <w:sz w:val="28"/>
          <w:szCs w:val="28"/>
          <w:lang w:val="uk-UA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повагою</w:t>
      </w:r>
    </w:p>
    <w:p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Олександр КОДОЛА</w:t>
      </w:r>
    </w:p>
    <w:p>
      <w:pPr>
        <w:ind w:left="6120"/>
        <w:rPr>
          <w:b/>
          <w:sz w:val="32"/>
          <w:szCs w:val="32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D17281"/>
    <w:multiLevelType w:val="multilevel"/>
    <w:tmpl w:val="43D17281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4C6458F7"/>
    <w:multiLevelType w:val="multilevel"/>
    <w:tmpl w:val="4C6458F7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51DB0592"/>
    <w:multiLevelType w:val="multilevel"/>
    <w:tmpl w:val="51DB0592"/>
    <w:lvl w:ilvl="0" w:tentative="0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A764C7"/>
    <w:rsid w:val="00081780"/>
    <w:rsid w:val="001251E3"/>
    <w:rsid w:val="001E2C8B"/>
    <w:rsid w:val="00245132"/>
    <w:rsid w:val="00262D4D"/>
    <w:rsid w:val="002820E5"/>
    <w:rsid w:val="00317553"/>
    <w:rsid w:val="0032732F"/>
    <w:rsid w:val="003553DE"/>
    <w:rsid w:val="00380585"/>
    <w:rsid w:val="00381961"/>
    <w:rsid w:val="003E7872"/>
    <w:rsid w:val="004008B9"/>
    <w:rsid w:val="004226C0"/>
    <w:rsid w:val="0044048F"/>
    <w:rsid w:val="005D2527"/>
    <w:rsid w:val="0060203D"/>
    <w:rsid w:val="00697C29"/>
    <w:rsid w:val="00770C36"/>
    <w:rsid w:val="0078607C"/>
    <w:rsid w:val="00A008DC"/>
    <w:rsid w:val="00A764C7"/>
    <w:rsid w:val="00A91B04"/>
    <w:rsid w:val="00AD352F"/>
    <w:rsid w:val="00AD5D14"/>
    <w:rsid w:val="00B97ECE"/>
    <w:rsid w:val="00CB45F8"/>
    <w:rsid w:val="00D6688A"/>
    <w:rsid w:val="00DA10C4"/>
    <w:rsid w:val="00DA4541"/>
    <w:rsid w:val="00E22975"/>
    <w:rsid w:val="00EB0909"/>
    <w:rsid w:val="00EC545A"/>
    <w:rsid w:val="00F37B47"/>
    <w:rsid w:val="0259037B"/>
    <w:rsid w:val="12AB3220"/>
    <w:rsid w:val="422518BA"/>
    <w:rsid w:val="54A1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qFormat/>
    <w:uiPriority w:val="0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Normal (Web)"/>
    <w:basedOn w:val="1"/>
    <w:semiHidden/>
    <w:unhideWhenUsed/>
    <w:qFormat/>
    <w:uiPriority w:val="99"/>
    <w:pPr>
      <w:widowControl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uk-UA" w:eastAsia="uk-UA"/>
    </w:rPr>
  </w:style>
  <w:style w:type="character" w:customStyle="1" w:styleId="8">
    <w:name w:val="Основной текст (3)_"/>
    <w:link w:val="9"/>
    <w:qFormat/>
    <w:locked/>
    <w:uiPriority w:val="99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9">
    <w:name w:val="Основной текст (3)"/>
    <w:basedOn w:val="1"/>
    <w:link w:val="8"/>
    <w:qFormat/>
    <w:uiPriority w:val="99"/>
    <w:pPr>
      <w:widowControl w:val="0"/>
      <w:shd w:val="clear" w:color="auto" w:fill="FFFFFF"/>
      <w:spacing w:after="0" w:line="219" w:lineRule="exact"/>
      <w:jc w:val="right"/>
    </w:pPr>
    <w:rPr>
      <w:rFonts w:ascii="Times New Roman" w:hAnsi="Times New Roman" w:cs="Times New Roman"/>
      <w:b/>
      <w:bCs/>
      <w:sz w:val="18"/>
      <w:szCs w:val="18"/>
    </w:rPr>
  </w:style>
  <w:style w:type="character" w:customStyle="1" w:styleId="10">
    <w:name w:val="Основной текст (2)_"/>
    <w:link w:val="11"/>
    <w:semiHidden/>
    <w:qFormat/>
    <w:locked/>
    <w:uiPriority w:val="99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11">
    <w:name w:val="Основной текст (2)"/>
    <w:basedOn w:val="1"/>
    <w:link w:val="10"/>
    <w:semiHidden/>
    <w:qFormat/>
    <w:uiPriority w:val="99"/>
    <w:pPr>
      <w:widowControl w:val="0"/>
      <w:shd w:val="clear" w:color="auto" w:fill="FFFFFF"/>
      <w:spacing w:after="0" w:line="211" w:lineRule="exact"/>
      <w:jc w:val="both"/>
    </w:pPr>
    <w:rPr>
      <w:rFonts w:ascii="Times New Roman" w:hAnsi="Times New Roman" w:cs="Times New Roman"/>
      <w:sz w:val="18"/>
      <w:szCs w:val="18"/>
    </w:rPr>
  </w:style>
  <w:style w:type="paragraph" w:customStyle="1" w:styleId="12">
    <w:name w:val="Текстовый блок"/>
    <w:semiHidden/>
    <w:qFormat/>
    <w:uiPriority w:val="99"/>
    <w:pPr>
      <w:spacing w:after="0" w:line="240" w:lineRule="auto"/>
    </w:pPr>
    <w:rPr>
      <w:rFonts w:ascii="Helvetica Neue" w:hAnsi="Helvetica Neue" w:eastAsia="Arial Unicode MS" w:cs="Arial Unicode MS"/>
      <w:color w:val="000000"/>
      <w:sz w:val="22"/>
      <w:szCs w:val="22"/>
      <w:lang w:val="ru-RU" w:eastAsia="ru-RU" w:bidi="ar-SA"/>
    </w:rPr>
  </w:style>
  <w:style w:type="character" w:customStyle="1" w:styleId="13">
    <w:name w:val="Сильное выделение1"/>
    <w:qFormat/>
    <w:uiPriority w:val="99"/>
    <w:rPr>
      <w:i/>
      <w:color w:val="5B9BD5"/>
    </w:rPr>
  </w:style>
  <w:style w:type="character" w:customStyle="1" w:styleId="14">
    <w:name w:val="Текст выноски Знак"/>
    <w:basedOn w:val="2"/>
    <w:link w:val="6"/>
    <w:semiHidden/>
    <w:qFormat/>
    <w:uiPriority w:val="99"/>
    <w:rPr>
      <w:rFonts w:ascii="Tahoma" w:hAnsi="Tahoma" w:cs="Tahoma"/>
      <w:sz w:val="16"/>
      <w:szCs w:val="16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338</Words>
  <Characters>1929</Characters>
  <Lines>16</Lines>
  <Paragraphs>4</Paragraphs>
  <TotalTime>19</TotalTime>
  <ScaleCrop>false</ScaleCrop>
  <LinksUpToDate>false</LinksUpToDate>
  <CharactersWithSpaces>2263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2021-01-26T10:01:00Z</dcterms:created>
  <dc:creator>Администратор</dc:creator>
  <cp:lastModifiedBy>VNMR</cp:lastModifiedBy>
  <cp:lastPrinted>2021-10-27T09:51:42Z</cp:lastPrinted>
  <dcterms:modified xsi:type="dcterms:W3CDTF">2021-10-27T09:55:35Z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218FC051B12540B58592E141CA8F6FD3</vt:lpwstr>
  </property>
</Properties>
</file>