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D4" w:rsidRDefault="006C6AD4" w:rsidP="006C6AD4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ПОЯСНЮВАЛЬНА ЗАПИСКА</w:t>
      </w:r>
    </w:p>
    <w:p w:rsidR="006C6AD4" w:rsidRPr="003F61C2" w:rsidRDefault="006C6AD4" w:rsidP="006C6AD4">
      <w:pPr>
        <w:ind w:left="-540"/>
        <w:jc w:val="center"/>
        <w:rPr>
          <w:sz w:val="28"/>
          <w:szCs w:val="28"/>
        </w:rPr>
      </w:pPr>
    </w:p>
    <w:p w:rsidR="006C6AD4" w:rsidRPr="003F61C2" w:rsidRDefault="006C6AD4" w:rsidP="006C6AD4">
      <w:pPr>
        <w:ind w:left="-540"/>
        <w:jc w:val="center"/>
        <w:rPr>
          <w:sz w:val="28"/>
          <w:szCs w:val="28"/>
        </w:rPr>
      </w:pPr>
      <w:r w:rsidRPr="003F61C2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проекту </w:t>
      </w:r>
      <w:r w:rsidRPr="003F61C2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 xml:space="preserve">виконавчого комітету </w:t>
      </w:r>
      <w:r w:rsidRPr="003F61C2">
        <w:rPr>
          <w:sz w:val="28"/>
          <w:szCs w:val="28"/>
        </w:rPr>
        <w:t xml:space="preserve">Ніжинської міської ради </w:t>
      </w:r>
      <w:r>
        <w:rPr>
          <w:sz w:val="28"/>
          <w:szCs w:val="28"/>
        </w:rPr>
        <w:t xml:space="preserve">Чернігівської області </w:t>
      </w:r>
      <w:r w:rsidRPr="003F61C2">
        <w:rPr>
          <w:sz w:val="28"/>
          <w:szCs w:val="28"/>
        </w:rPr>
        <w:t>«Про</w:t>
      </w:r>
      <w:r>
        <w:rPr>
          <w:sz w:val="28"/>
          <w:szCs w:val="28"/>
        </w:rPr>
        <w:t xml:space="preserve"> внесення змін до фінансового плану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на 202</w:t>
      </w:r>
      <w:r w:rsidR="00137E83">
        <w:rPr>
          <w:sz w:val="28"/>
          <w:szCs w:val="28"/>
        </w:rPr>
        <w:t>4</w:t>
      </w:r>
      <w:r>
        <w:rPr>
          <w:sz w:val="28"/>
          <w:szCs w:val="28"/>
        </w:rPr>
        <w:t xml:space="preserve"> рік</w:t>
      </w:r>
      <w:r w:rsidRPr="003F61C2">
        <w:rPr>
          <w:sz w:val="28"/>
          <w:szCs w:val="28"/>
        </w:rPr>
        <w:t>»</w:t>
      </w:r>
    </w:p>
    <w:p w:rsidR="006C6AD4" w:rsidRDefault="006C6AD4" w:rsidP="006C6AD4">
      <w:pPr>
        <w:ind w:left="-540"/>
        <w:rPr>
          <w:rStyle w:val="FontStyle15"/>
          <w:sz w:val="20"/>
          <w:szCs w:val="28"/>
          <w:lang w:eastAsia="uk-UA"/>
        </w:rPr>
      </w:pPr>
    </w:p>
    <w:p w:rsidR="006C6AD4" w:rsidRPr="00826953" w:rsidRDefault="006C6AD4" w:rsidP="006C6AD4">
      <w:pPr>
        <w:ind w:left="-540"/>
        <w:rPr>
          <w:rStyle w:val="FontStyle15"/>
          <w:sz w:val="20"/>
          <w:szCs w:val="28"/>
          <w:lang w:eastAsia="uk-UA"/>
        </w:rPr>
      </w:pPr>
    </w:p>
    <w:p w:rsidR="006C6AD4" w:rsidRPr="001B1428" w:rsidRDefault="006C6AD4" w:rsidP="006C6AD4">
      <w:pPr>
        <w:ind w:firstLine="567"/>
        <w:jc w:val="both"/>
        <w:rPr>
          <w:sz w:val="28"/>
          <w:szCs w:val="28"/>
        </w:rPr>
      </w:pPr>
      <w:r>
        <w:rPr>
          <w:rStyle w:val="FontStyle15"/>
          <w:sz w:val="28"/>
          <w:szCs w:val="28"/>
          <w:lang w:eastAsia="uk-UA"/>
        </w:rPr>
        <w:t>1.</w:t>
      </w:r>
      <w:r w:rsidRPr="00826953">
        <w:rPr>
          <w:rStyle w:val="FontStyle15"/>
          <w:sz w:val="28"/>
          <w:szCs w:val="28"/>
          <w:lang w:eastAsia="uk-UA"/>
        </w:rPr>
        <w:t xml:space="preserve">Проект рішення </w:t>
      </w:r>
      <w:r>
        <w:rPr>
          <w:rStyle w:val="FontStyle15"/>
          <w:sz w:val="28"/>
          <w:szCs w:val="28"/>
          <w:lang w:eastAsia="uk-UA"/>
        </w:rPr>
        <w:t xml:space="preserve">виконавчого комітету </w:t>
      </w:r>
      <w:r w:rsidRPr="00826953">
        <w:rPr>
          <w:sz w:val="28"/>
          <w:szCs w:val="28"/>
        </w:rPr>
        <w:t>Ніжинської міської ради</w:t>
      </w:r>
      <w:r>
        <w:rPr>
          <w:sz w:val="28"/>
          <w:szCs w:val="28"/>
        </w:rPr>
        <w:t xml:space="preserve"> Чернігівської області передбачає внесення змін до Фінансового плану комунального некомерційного підприємства  «Ніжинська центральна міська лікарня імені Миколи Галицького» Ніжинської міської ради Чернігівської області на 202</w:t>
      </w:r>
      <w:r w:rsidR="005C63E2">
        <w:rPr>
          <w:sz w:val="28"/>
          <w:szCs w:val="28"/>
        </w:rPr>
        <w:t>4</w:t>
      </w:r>
      <w:r>
        <w:rPr>
          <w:sz w:val="28"/>
          <w:szCs w:val="28"/>
        </w:rPr>
        <w:t xml:space="preserve"> рік для забезпечення ефективного функціонування закладу охорони здоров’я  у зазначеному плановому періоді, об’єктивного відображення  рівня доходів і витрат з урахуванням  змін </w:t>
      </w:r>
      <w:r w:rsidR="005C63E2">
        <w:rPr>
          <w:sz w:val="28"/>
          <w:szCs w:val="28"/>
        </w:rPr>
        <w:t>що</w:t>
      </w:r>
      <w:r>
        <w:rPr>
          <w:sz w:val="28"/>
          <w:szCs w:val="28"/>
        </w:rPr>
        <w:t xml:space="preserve"> обумовлені </w:t>
      </w:r>
      <w:proofErr w:type="spellStart"/>
      <w:r>
        <w:rPr>
          <w:sz w:val="28"/>
          <w:szCs w:val="28"/>
        </w:rPr>
        <w:t>заключенням</w:t>
      </w:r>
      <w:proofErr w:type="spellEnd"/>
      <w:r>
        <w:rPr>
          <w:sz w:val="28"/>
          <w:szCs w:val="28"/>
        </w:rPr>
        <w:t xml:space="preserve">  договорів про медичне обслуговування населення за програмою медичних гарантій на надання медичних послуг відповідно до постанов</w:t>
      </w:r>
      <w:r w:rsidR="0070576F">
        <w:rPr>
          <w:sz w:val="28"/>
          <w:szCs w:val="28"/>
        </w:rPr>
        <w:t>и</w:t>
      </w:r>
      <w:r>
        <w:rPr>
          <w:sz w:val="28"/>
          <w:szCs w:val="28"/>
        </w:rPr>
        <w:t xml:space="preserve"> Кабінету Міністрів України від 2</w:t>
      </w:r>
      <w:r w:rsidR="0070576F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70576F">
        <w:rPr>
          <w:sz w:val="28"/>
          <w:szCs w:val="28"/>
        </w:rPr>
        <w:t>3</w:t>
      </w:r>
      <w:r>
        <w:rPr>
          <w:sz w:val="28"/>
          <w:szCs w:val="28"/>
        </w:rPr>
        <w:t xml:space="preserve"> року №1</w:t>
      </w:r>
      <w:r w:rsidR="0070576F">
        <w:rPr>
          <w:sz w:val="28"/>
          <w:szCs w:val="28"/>
        </w:rPr>
        <w:t>394</w:t>
      </w:r>
      <w:r w:rsidR="009864F2">
        <w:rPr>
          <w:sz w:val="28"/>
          <w:szCs w:val="28"/>
        </w:rPr>
        <w:t xml:space="preserve"> «Деякі питання реалізації програми державних гарантій медичного обслуговування населення у 2024 році»</w:t>
      </w:r>
      <w:bookmarkStart w:id="0" w:name="_GoBack"/>
      <w:bookmarkEnd w:id="0"/>
      <w:r>
        <w:rPr>
          <w:sz w:val="28"/>
          <w:szCs w:val="28"/>
        </w:rPr>
        <w:t xml:space="preserve"> після затвердження фінансового плану на 202</w:t>
      </w:r>
      <w:r w:rsidR="0070576F">
        <w:rPr>
          <w:sz w:val="28"/>
          <w:szCs w:val="28"/>
        </w:rPr>
        <w:t>4</w:t>
      </w:r>
      <w:r>
        <w:rPr>
          <w:sz w:val="28"/>
          <w:szCs w:val="28"/>
        </w:rPr>
        <w:t xml:space="preserve"> рік у попередній редакції.</w:t>
      </w:r>
    </w:p>
    <w:p w:rsidR="006C6AD4" w:rsidRPr="00163C38" w:rsidRDefault="006C6AD4" w:rsidP="006C6AD4">
      <w:pPr>
        <w:ind w:firstLine="567"/>
        <w:jc w:val="both"/>
        <w:rPr>
          <w:sz w:val="28"/>
          <w:szCs w:val="28"/>
        </w:rPr>
      </w:pPr>
      <w:r w:rsidRPr="00133A41">
        <w:rPr>
          <w:sz w:val="28"/>
          <w:szCs w:val="28"/>
        </w:rPr>
        <w:t>2.</w:t>
      </w:r>
      <w:r>
        <w:rPr>
          <w:sz w:val="28"/>
          <w:szCs w:val="28"/>
        </w:rPr>
        <w:t xml:space="preserve"> Проект рішення підготований  на підставі </w:t>
      </w:r>
      <w:r w:rsidRPr="00163C38">
        <w:rPr>
          <w:sz w:val="28"/>
          <w:szCs w:val="28"/>
        </w:rPr>
        <w:t xml:space="preserve">листа КНП </w:t>
      </w:r>
      <w:r>
        <w:rPr>
          <w:sz w:val="28"/>
          <w:szCs w:val="28"/>
        </w:rPr>
        <w:t>«</w:t>
      </w:r>
      <w:r w:rsidRPr="00163C38">
        <w:rPr>
          <w:sz w:val="28"/>
          <w:szCs w:val="28"/>
        </w:rPr>
        <w:t>Ніжинськ</w:t>
      </w:r>
      <w:r>
        <w:rPr>
          <w:sz w:val="28"/>
          <w:szCs w:val="28"/>
        </w:rPr>
        <w:t>а центральна м</w:t>
      </w:r>
      <w:r w:rsidRPr="00163C38">
        <w:rPr>
          <w:sz w:val="28"/>
          <w:szCs w:val="28"/>
        </w:rPr>
        <w:t>іськ</w:t>
      </w:r>
      <w:r>
        <w:rPr>
          <w:sz w:val="28"/>
          <w:szCs w:val="28"/>
        </w:rPr>
        <w:t xml:space="preserve">а лікарня ім. М. Галицького» </w:t>
      </w:r>
      <w:r w:rsidRPr="00163C38">
        <w:rPr>
          <w:sz w:val="28"/>
          <w:szCs w:val="28"/>
        </w:rPr>
        <w:t>Ніжинської міської ради Чернігівської області №01-1</w:t>
      </w:r>
      <w:r w:rsidR="0070576F">
        <w:rPr>
          <w:sz w:val="28"/>
          <w:szCs w:val="28"/>
        </w:rPr>
        <w:t>1</w:t>
      </w:r>
      <w:r w:rsidRPr="00163C38">
        <w:rPr>
          <w:sz w:val="28"/>
          <w:szCs w:val="28"/>
        </w:rPr>
        <w:t>/</w:t>
      </w:r>
      <w:r w:rsidR="0070576F">
        <w:rPr>
          <w:sz w:val="28"/>
          <w:szCs w:val="28"/>
        </w:rPr>
        <w:t>295</w:t>
      </w:r>
      <w:r w:rsidRPr="00163C38">
        <w:rPr>
          <w:sz w:val="28"/>
          <w:szCs w:val="28"/>
        </w:rPr>
        <w:t xml:space="preserve"> від </w:t>
      </w:r>
      <w:r>
        <w:rPr>
          <w:sz w:val="28"/>
          <w:szCs w:val="28"/>
        </w:rPr>
        <w:t>1</w:t>
      </w:r>
      <w:r w:rsidR="0070576F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70576F">
        <w:rPr>
          <w:sz w:val="28"/>
          <w:szCs w:val="28"/>
        </w:rPr>
        <w:t>2</w:t>
      </w:r>
      <w:r w:rsidRPr="00163C38">
        <w:rPr>
          <w:sz w:val="28"/>
          <w:szCs w:val="28"/>
        </w:rPr>
        <w:t>.202</w:t>
      </w:r>
      <w:r w:rsidR="0070576F">
        <w:rPr>
          <w:sz w:val="28"/>
          <w:szCs w:val="28"/>
        </w:rPr>
        <w:t>4</w:t>
      </w:r>
      <w:r w:rsidRPr="00163C38">
        <w:rPr>
          <w:sz w:val="28"/>
          <w:szCs w:val="28"/>
        </w:rPr>
        <w:t>р.</w:t>
      </w:r>
    </w:p>
    <w:p w:rsidR="006C6AD4" w:rsidRDefault="006C6AD4" w:rsidP="006C6AD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3.П</w:t>
      </w:r>
      <w:r w:rsidRPr="00905ED5">
        <w:rPr>
          <w:color w:val="000000"/>
          <w:sz w:val="28"/>
          <w:szCs w:val="28"/>
        </w:rPr>
        <w:t xml:space="preserve">роект рішення підготовлений з дотриманням норм Конституції України, Законів України «Про місцеве самоврядування в Україні», Законів України «Основи законодавства України </w:t>
      </w:r>
      <w:proofErr w:type="spellStart"/>
      <w:r w:rsidRPr="00905ED5">
        <w:rPr>
          <w:color w:val="000000"/>
          <w:sz w:val="28"/>
          <w:szCs w:val="28"/>
        </w:rPr>
        <w:t>‘’Про</w:t>
      </w:r>
      <w:proofErr w:type="spellEnd"/>
      <w:r w:rsidRPr="00905ED5">
        <w:rPr>
          <w:color w:val="000000"/>
          <w:sz w:val="28"/>
          <w:szCs w:val="28"/>
        </w:rPr>
        <w:t xml:space="preserve"> охорону здоров’я» №2801-ХІІ від 19.11.1992р., «Про державні фінансові гарантії медичного обслуговування населення» №2168-VIII від 19.10.2017р.,</w:t>
      </w:r>
    </w:p>
    <w:p w:rsidR="006C6AD4" w:rsidRPr="00594AF0" w:rsidRDefault="006C6AD4" w:rsidP="006C6AD4">
      <w:pPr>
        <w:jc w:val="both"/>
        <w:rPr>
          <w:color w:val="000000" w:themeColor="text1"/>
          <w:sz w:val="28"/>
          <w:szCs w:val="28"/>
        </w:rPr>
      </w:pPr>
      <w:r w:rsidRPr="000A430A">
        <w:rPr>
          <w:color w:val="000000"/>
          <w:sz w:val="28"/>
          <w:szCs w:val="28"/>
        </w:rPr>
        <w:t xml:space="preserve">Порівняльна таблиця змін до Фінансового плану </w:t>
      </w:r>
      <w:r w:rsidRPr="000A430A">
        <w:rPr>
          <w:sz w:val="28"/>
          <w:szCs w:val="28"/>
        </w:rPr>
        <w:t xml:space="preserve">комунального некомерційного підприємства  </w:t>
      </w:r>
      <w:r>
        <w:rPr>
          <w:sz w:val="28"/>
          <w:szCs w:val="28"/>
        </w:rPr>
        <w:t>«</w:t>
      </w:r>
      <w:r w:rsidRPr="000A430A">
        <w:rPr>
          <w:sz w:val="28"/>
          <w:szCs w:val="28"/>
        </w:rPr>
        <w:t>Ніжинськ</w:t>
      </w:r>
      <w:r>
        <w:rPr>
          <w:sz w:val="28"/>
          <w:szCs w:val="28"/>
        </w:rPr>
        <w:t>а центральна</w:t>
      </w:r>
      <w:r w:rsidRPr="000A4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 xml:space="preserve">а лікарня ім. М. Галицького» </w:t>
      </w:r>
      <w:r w:rsidRPr="000A430A">
        <w:rPr>
          <w:sz w:val="28"/>
          <w:szCs w:val="28"/>
        </w:rPr>
        <w:t>Ніжинської міської ради Чернігівської області на 202</w:t>
      </w:r>
      <w:r w:rsidR="00137E83">
        <w:rPr>
          <w:sz w:val="28"/>
          <w:szCs w:val="28"/>
        </w:rPr>
        <w:t>4</w:t>
      </w:r>
      <w:r w:rsidRPr="000A430A">
        <w:rPr>
          <w:sz w:val="28"/>
          <w:szCs w:val="28"/>
        </w:rPr>
        <w:t xml:space="preserve"> рік  додається.</w:t>
      </w:r>
    </w:p>
    <w:tbl>
      <w:tblPr>
        <w:tblW w:w="5034" w:type="pct"/>
        <w:tblInd w:w="-34" w:type="dxa"/>
        <w:tblLayout w:type="fixed"/>
        <w:tblLook w:val="0000"/>
      </w:tblPr>
      <w:tblGrid>
        <w:gridCol w:w="2627"/>
        <w:gridCol w:w="2359"/>
        <w:gridCol w:w="1671"/>
        <w:gridCol w:w="1669"/>
        <w:gridCol w:w="1595"/>
      </w:tblGrid>
      <w:tr w:rsidR="006C6AD4" w:rsidRPr="006B3AD5" w:rsidTr="00AD0431">
        <w:trPr>
          <w:trHeight w:val="1058"/>
        </w:trPr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B73094" w:rsidRDefault="006C6AD4" w:rsidP="00AD0431">
            <w:pPr>
              <w:jc w:val="center"/>
              <w:rPr>
                <w:b/>
                <w:i/>
                <w:szCs w:val="24"/>
              </w:rPr>
            </w:pPr>
            <w:r w:rsidRPr="00B73094">
              <w:rPr>
                <w:b/>
                <w:i/>
                <w:szCs w:val="24"/>
              </w:rPr>
              <w:t>Назва підприємства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B73094" w:rsidRDefault="006C6AD4" w:rsidP="00AD0431">
            <w:pPr>
              <w:jc w:val="center"/>
              <w:rPr>
                <w:b/>
                <w:i/>
                <w:szCs w:val="24"/>
              </w:rPr>
            </w:pPr>
            <w:r w:rsidRPr="00B73094">
              <w:rPr>
                <w:b/>
                <w:i/>
                <w:szCs w:val="24"/>
              </w:rPr>
              <w:t xml:space="preserve">Показники діяльності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B73094" w:rsidRDefault="006C6AD4" w:rsidP="00AD0431">
            <w:pPr>
              <w:jc w:val="center"/>
              <w:rPr>
                <w:b/>
                <w:i/>
                <w:szCs w:val="24"/>
              </w:rPr>
            </w:pPr>
            <w:r w:rsidRPr="00B73094">
              <w:rPr>
                <w:b/>
                <w:i/>
                <w:szCs w:val="24"/>
              </w:rPr>
              <w:t xml:space="preserve">Фінансовий план </w:t>
            </w:r>
          </w:p>
          <w:p w:rsidR="006C6AD4" w:rsidRPr="00B73094" w:rsidRDefault="006C6AD4" w:rsidP="00137E83">
            <w:pPr>
              <w:jc w:val="center"/>
              <w:rPr>
                <w:b/>
                <w:i/>
                <w:szCs w:val="24"/>
              </w:rPr>
            </w:pPr>
            <w:r w:rsidRPr="00B73094">
              <w:rPr>
                <w:b/>
                <w:i/>
                <w:szCs w:val="24"/>
              </w:rPr>
              <w:t>202</w:t>
            </w:r>
            <w:r w:rsidR="00137E83">
              <w:rPr>
                <w:b/>
                <w:i/>
                <w:szCs w:val="24"/>
              </w:rPr>
              <w:t>4</w:t>
            </w:r>
            <w:r w:rsidRPr="00B73094">
              <w:rPr>
                <w:b/>
                <w:i/>
                <w:szCs w:val="24"/>
              </w:rPr>
              <w:t xml:space="preserve"> рік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6AD4" w:rsidRPr="00B73094" w:rsidRDefault="006C6AD4" w:rsidP="00AD0431">
            <w:pPr>
              <w:jc w:val="center"/>
              <w:rPr>
                <w:b/>
                <w:i/>
                <w:szCs w:val="24"/>
              </w:rPr>
            </w:pPr>
            <w:r w:rsidRPr="00B73094">
              <w:rPr>
                <w:b/>
                <w:i/>
                <w:szCs w:val="24"/>
              </w:rPr>
              <w:t xml:space="preserve">Зміни до фінансового плану на  </w:t>
            </w:r>
          </w:p>
          <w:p w:rsidR="006C6AD4" w:rsidRPr="00B73094" w:rsidRDefault="006C6AD4" w:rsidP="00137E83">
            <w:pPr>
              <w:jc w:val="center"/>
              <w:rPr>
                <w:b/>
                <w:i/>
                <w:szCs w:val="24"/>
              </w:rPr>
            </w:pPr>
            <w:r w:rsidRPr="00B73094">
              <w:rPr>
                <w:b/>
                <w:i/>
                <w:szCs w:val="24"/>
              </w:rPr>
              <w:t xml:space="preserve"> 202</w:t>
            </w:r>
            <w:r w:rsidR="00137E83">
              <w:rPr>
                <w:b/>
                <w:i/>
                <w:szCs w:val="24"/>
              </w:rPr>
              <w:t>4</w:t>
            </w:r>
            <w:r w:rsidRPr="00B73094">
              <w:rPr>
                <w:b/>
                <w:i/>
                <w:szCs w:val="24"/>
              </w:rPr>
              <w:t>рік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AD4" w:rsidRPr="00B73094" w:rsidRDefault="006C6AD4" w:rsidP="00AD0431">
            <w:pPr>
              <w:jc w:val="center"/>
              <w:rPr>
                <w:b/>
                <w:i/>
                <w:szCs w:val="24"/>
              </w:rPr>
            </w:pPr>
            <w:r w:rsidRPr="00B73094">
              <w:rPr>
                <w:b/>
                <w:i/>
                <w:szCs w:val="24"/>
              </w:rPr>
              <w:t>Відхилення</w:t>
            </w:r>
          </w:p>
          <w:p w:rsidR="006C6AD4" w:rsidRPr="00B73094" w:rsidRDefault="006C6AD4" w:rsidP="00AD0431">
            <w:pPr>
              <w:jc w:val="center"/>
              <w:rPr>
                <w:b/>
                <w:i/>
                <w:szCs w:val="24"/>
              </w:rPr>
            </w:pPr>
          </w:p>
          <w:p w:rsidR="006C6AD4" w:rsidRPr="00B73094" w:rsidRDefault="006C6AD4" w:rsidP="00AD0431">
            <w:pPr>
              <w:jc w:val="center"/>
              <w:rPr>
                <w:b/>
                <w:i/>
                <w:szCs w:val="24"/>
              </w:rPr>
            </w:pPr>
          </w:p>
          <w:p w:rsidR="006C6AD4" w:rsidRPr="00B73094" w:rsidRDefault="006C6AD4" w:rsidP="00AD0431">
            <w:pPr>
              <w:jc w:val="center"/>
              <w:rPr>
                <w:b/>
                <w:i/>
                <w:szCs w:val="24"/>
              </w:rPr>
            </w:pPr>
            <w:r w:rsidRPr="00B73094">
              <w:rPr>
                <w:b/>
                <w:i/>
                <w:szCs w:val="24"/>
              </w:rPr>
              <w:t>+,-</w:t>
            </w:r>
          </w:p>
          <w:p w:rsidR="006C6AD4" w:rsidRPr="00B73094" w:rsidRDefault="006C6AD4" w:rsidP="00AD0431">
            <w:pPr>
              <w:jc w:val="center"/>
              <w:rPr>
                <w:b/>
                <w:i/>
                <w:szCs w:val="24"/>
              </w:rPr>
            </w:pPr>
          </w:p>
        </w:tc>
      </w:tr>
      <w:tr w:rsidR="006C6AD4" w:rsidRPr="00925F39" w:rsidTr="00AD0431">
        <w:trPr>
          <w:cantSplit/>
        </w:trPr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C6AD4" w:rsidRPr="004F068B" w:rsidRDefault="006C6AD4" w:rsidP="00AD0431">
            <w:pPr>
              <w:jc w:val="center"/>
              <w:rPr>
                <w:b/>
                <w:szCs w:val="24"/>
              </w:rPr>
            </w:pPr>
            <w:r w:rsidRPr="004F068B">
              <w:rPr>
                <w:b/>
                <w:szCs w:val="24"/>
              </w:rPr>
              <w:t>КНП «Ніжинськ</w:t>
            </w:r>
            <w:r>
              <w:rPr>
                <w:b/>
                <w:szCs w:val="24"/>
              </w:rPr>
              <w:t>а</w:t>
            </w:r>
            <w:r w:rsidR="00177706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центральна </w:t>
            </w:r>
            <w:r w:rsidRPr="004F068B">
              <w:rPr>
                <w:b/>
                <w:szCs w:val="24"/>
              </w:rPr>
              <w:t>міськ</w:t>
            </w:r>
            <w:r>
              <w:rPr>
                <w:b/>
                <w:szCs w:val="24"/>
              </w:rPr>
              <w:t>а</w:t>
            </w:r>
            <w:r w:rsidR="00177706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лікарня ім. М. Галицького</w:t>
            </w:r>
            <w:r w:rsidRPr="004F068B">
              <w:rPr>
                <w:b/>
                <w:szCs w:val="24"/>
              </w:rPr>
              <w:t>»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4F068B" w:rsidRDefault="006C6AD4" w:rsidP="00AD0431">
            <w:pPr>
              <w:jc w:val="center"/>
              <w:rPr>
                <w:szCs w:val="24"/>
              </w:rPr>
            </w:pPr>
            <w:r w:rsidRPr="004F068B">
              <w:rPr>
                <w:szCs w:val="24"/>
              </w:rPr>
              <w:t>Всього доходів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70576F" w:rsidRDefault="0070576F" w:rsidP="00AD0431">
            <w:pPr>
              <w:jc w:val="center"/>
              <w:rPr>
                <w:b/>
                <w:i/>
                <w:szCs w:val="24"/>
              </w:rPr>
            </w:pPr>
            <w:r w:rsidRPr="0070576F">
              <w:rPr>
                <w:b/>
                <w:i/>
                <w:szCs w:val="24"/>
              </w:rPr>
              <w:t>231258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6AD4" w:rsidRPr="0070576F" w:rsidRDefault="0070576F" w:rsidP="00AD0431">
            <w:pPr>
              <w:jc w:val="center"/>
              <w:rPr>
                <w:b/>
                <w:i/>
                <w:szCs w:val="24"/>
              </w:rPr>
            </w:pPr>
            <w:r w:rsidRPr="0070576F">
              <w:rPr>
                <w:b/>
                <w:i/>
                <w:szCs w:val="24"/>
              </w:rPr>
              <w:t>230870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AD4" w:rsidRPr="0070576F" w:rsidRDefault="0070576F" w:rsidP="00AD0431">
            <w:pPr>
              <w:jc w:val="center"/>
              <w:rPr>
                <w:b/>
                <w:i/>
                <w:szCs w:val="24"/>
              </w:rPr>
            </w:pPr>
            <w:r w:rsidRPr="0070576F">
              <w:rPr>
                <w:b/>
                <w:i/>
                <w:szCs w:val="24"/>
              </w:rPr>
              <w:t>-388</w:t>
            </w:r>
          </w:p>
        </w:tc>
      </w:tr>
      <w:tr w:rsidR="006C6AD4" w:rsidRPr="00925F39" w:rsidTr="00AD0431">
        <w:trPr>
          <w:cantSplit/>
        </w:trPr>
        <w:tc>
          <w:tcPr>
            <w:tcW w:w="1324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6C6AD4" w:rsidRPr="004F068B" w:rsidRDefault="006C6AD4" w:rsidP="00AD0431">
            <w:pPr>
              <w:jc w:val="center"/>
              <w:rPr>
                <w:szCs w:val="24"/>
              </w:rPr>
            </w:pP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4F068B" w:rsidRDefault="006C6AD4" w:rsidP="00AD0431">
            <w:pPr>
              <w:jc w:val="center"/>
              <w:rPr>
                <w:szCs w:val="24"/>
              </w:rPr>
            </w:pPr>
            <w:r w:rsidRPr="004F068B">
              <w:rPr>
                <w:szCs w:val="24"/>
              </w:rPr>
              <w:t xml:space="preserve">Усього витрат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70576F" w:rsidRDefault="0070576F" w:rsidP="00AD0431">
            <w:pPr>
              <w:jc w:val="center"/>
              <w:rPr>
                <w:b/>
                <w:i/>
                <w:szCs w:val="24"/>
              </w:rPr>
            </w:pPr>
            <w:r w:rsidRPr="0070576F">
              <w:rPr>
                <w:b/>
                <w:i/>
                <w:szCs w:val="24"/>
              </w:rPr>
              <w:t>231258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6AD4" w:rsidRPr="0070576F" w:rsidRDefault="0070576F" w:rsidP="00AD0431">
            <w:pPr>
              <w:jc w:val="center"/>
              <w:rPr>
                <w:b/>
                <w:i/>
                <w:szCs w:val="24"/>
              </w:rPr>
            </w:pPr>
            <w:r w:rsidRPr="0070576F">
              <w:rPr>
                <w:b/>
                <w:i/>
                <w:szCs w:val="24"/>
              </w:rPr>
              <w:t>230870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AD4" w:rsidRPr="0070576F" w:rsidRDefault="0070576F" w:rsidP="00AD0431">
            <w:pPr>
              <w:jc w:val="center"/>
              <w:rPr>
                <w:b/>
                <w:i/>
                <w:szCs w:val="24"/>
              </w:rPr>
            </w:pPr>
            <w:r w:rsidRPr="0070576F">
              <w:rPr>
                <w:b/>
                <w:i/>
                <w:szCs w:val="24"/>
              </w:rPr>
              <w:t>-388</w:t>
            </w:r>
          </w:p>
        </w:tc>
      </w:tr>
      <w:tr w:rsidR="0070576F" w:rsidRPr="0070576F" w:rsidTr="00AD0431">
        <w:trPr>
          <w:cantSplit/>
          <w:trHeight w:val="920"/>
        </w:trPr>
        <w:tc>
          <w:tcPr>
            <w:tcW w:w="1324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6C6AD4" w:rsidRPr="0070576F" w:rsidRDefault="006C6AD4" w:rsidP="00AD0431">
            <w:pPr>
              <w:jc w:val="center"/>
              <w:rPr>
                <w:szCs w:val="24"/>
              </w:rPr>
            </w:pP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70576F" w:rsidRDefault="006C6AD4" w:rsidP="00AD0431">
            <w:pPr>
              <w:jc w:val="center"/>
              <w:rPr>
                <w:szCs w:val="24"/>
              </w:rPr>
            </w:pP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70576F" w:rsidRDefault="006C6AD4" w:rsidP="00AD0431">
            <w:pPr>
              <w:jc w:val="center"/>
              <w:rPr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6AD4" w:rsidRPr="0070576F" w:rsidRDefault="006C6AD4" w:rsidP="00AD0431">
            <w:pPr>
              <w:jc w:val="center"/>
              <w:rPr>
                <w:szCs w:val="24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AD4" w:rsidRPr="0070576F" w:rsidRDefault="006C6AD4" w:rsidP="00AD0431">
            <w:pPr>
              <w:jc w:val="center"/>
              <w:rPr>
                <w:szCs w:val="24"/>
              </w:rPr>
            </w:pPr>
          </w:p>
        </w:tc>
      </w:tr>
      <w:tr w:rsidR="0070576F" w:rsidRPr="0070576F" w:rsidTr="00AD0431">
        <w:trPr>
          <w:cantSplit/>
        </w:trPr>
        <w:tc>
          <w:tcPr>
            <w:tcW w:w="132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70576F" w:rsidRDefault="006C6AD4" w:rsidP="00AD0431">
            <w:pPr>
              <w:jc w:val="center"/>
              <w:rPr>
                <w:szCs w:val="24"/>
              </w:rPr>
            </w:pP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70576F" w:rsidRDefault="006C6AD4" w:rsidP="00AD0431">
            <w:pPr>
              <w:jc w:val="center"/>
              <w:rPr>
                <w:szCs w:val="24"/>
              </w:rPr>
            </w:pP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AD4" w:rsidRPr="0070576F" w:rsidRDefault="006C6AD4" w:rsidP="00AD0431">
            <w:pPr>
              <w:jc w:val="center"/>
              <w:rPr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6AD4" w:rsidRPr="0070576F" w:rsidRDefault="006C6AD4" w:rsidP="00AD0431">
            <w:pPr>
              <w:jc w:val="center"/>
              <w:rPr>
                <w:szCs w:val="24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AD4" w:rsidRPr="0070576F" w:rsidRDefault="006C6AD4" w:rsidP="00AD0431">
            <w:pPr>
              <w:jc w:val="center"/>
              <w:rPr>
                <w:szCs w:val="24"/>
              </w:rPr>
            </w:pPr>
          </w:p>
        </w:tc>
      </w:tr>
    </w:tbl>
    <w:p w:rsidR="006C6AD4" w:rsidRPr="0070576F" w:rsidRDefault="0070576F" w:rsidP="00EC6CEA">
      <w:pPr>
        <w:pStyle w:val="a6"/>
        <w:numPr>
          <w:ilvl w:val="0"/>
          <w:numId w:val="4"/>
        </w:numPr>
        <w:tabs>
          <w:tab w:val="left" w:pos="3080"/>
        </w:tabs>
        <w:ind w:left="0" w:firstLine="928"/>
        <w:jc w:val="both"/>
        <w:rPr>
          <w:color w:val="000000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  <w:lang w:val="ru-RU"/>
        </w:rPr>
        <w:t>На</w:t>
      </w:r>
      <w:r w:rsidR="006C6AD4" w:rsidRPr="0070576F">
        <w:rPr>
          <w:color w:val="000000" w:themeColor="text1"/>
          <w:sz w:val="28"/>
          <w:szCs w:val="28"/>
          <w:lang w:val="ru-RU"/>
        </w:rPr>
        <w:t>слідком</w:t>
      </w:r>
      <w:proofErr w:type="spellEnd"/>
      <w:r w:rsidR="00177706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C6AD4" w:rsidRPr="0070576F">
        <w:rPr>
          <w:color w:val="000000" w:themeColor="text1"/>
          <w:sz w:val="28"/>
          <w:szCs w:val="28"/>
          <w:lang w:val="ru-RU"/>
        </w:rPr>
        <w:t>прийняття</w:t>
      </w:r>
      <w:proofErr w:type="spellEnd"/>
      <w:r w:rsidR="00177706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proofErr w:type="gramStart"/>
      <w:r w:rsidR="006C6AD4" w:rsidRPr="0070576F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6C6AD4" w:rsidRPr="0070576F">
        <w:rPr>
          <w:color w:val="000000" w:themeColor="text1"/>
          <w:sz w:val="28"/>
          <w:szCs w:val="28"/>
          <w:lang w:val="ru-RU"/>
        </w:rPr>
        <w:t>ішення</w:t>
      </w:r>
      <w:proofErr w:type="spellEnd"/>
      <w:r w:rsidR="006C6AD4" w:rsidRPr="007057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C6AD4" w:rsidRPr="0070576F">
        <w:rPr>
          <w:color w:val="000000" w:themeColor="text1"/>
          <w:sz w:val="28"/>
          <w:szCs w:val="28"/>
          <w:lang w:val="ru-RU"/>
        </w:rPr>
        <w:t>є</w:t>
      </w:r>
      <w:proofErr w:type="spellEnd"/>
      <w:r w:rsidR="006C6AD4" w:rsidRPr="007057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C6AD4" w:rsidRPr="0070576F">
        <w:rPr>
          <w:color w:val="000000" w:themeColor="text1"/>
          <w:sz w:val="28"/>
          <w:szCs w:val="28"/>
          <w:lang w:val="ru-RU"/>
        </w:rPr>
        <w:t>ефективне</w:t>
      </w:r>
      <w:proofErr w:type="spellEnd"/>
      <w:r w:rsidR="00177706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C6AD4" w:rsidRPr="0070576F">
        <w:rPr>
          <w:color w:val="000000" w:themeColor="text1"/>
          <w:sz w:val="28"/>
          <w:szCs w:val="28"/>
          <w:lang w:val="ru-RU"/>
        </w:rPr>
        <w:t>функціонування</w:t>
      </w:r>
      <w:proofErr w:type="spellEnd"/>
      <w:r w:rsidR="00177706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C6AD4" w:rsidRPr="0070576F">
        <w:rPr>
          <w:color w:val="000000" w:themeColor="text1"/>
          <w:sz w:val="28"/>
          <w:szCs w:val="28"/>
          <w:lang w:val="ru-RU"/>
        </w:rPr>
        <w:t>підприємства</w:t>
      </w:r>
      <w:proofErr w:type="spellEnd"/>
      <w:r w:rsidR="006C6AD4" w:rsidRPr="0070576F">
        <w:rPr>
          <w:color w:val="000000" w:themeColor="text1"/>
          <w:sz w:val="28"/>
          <w:szCs w:val="28"/>
          <w:lang w:val="ru-RU"/>
        </w:rPr>
        <w:t xml:space="preserve"> у поточному </w:t>
      </w:r>
      <w:proofErr w:type="spellStart"/>
      <w:r w:rsidR="006C6AD4" w:rsidRPr="0070576F">
        <w:rPr>
          <w:color w:val="000000" w:themeColor="text1"/>
          <w:sz w:val="28"/>
          <w:szCs w:val="28"/>
          <w:lang w:val="ru-RU"/>
        </w:rPr>
        <w:t>році</w:t>
      </w:r>
      <w:proofErr w:type="spellEnd"/>
      <w:r w:rsidR="006C6AD4" w:rsidRPr="0070576F">
        <w:rPr>
          <w:color w:val="000000" w:themeColor="text1"/>
          <w:sz w:val="28"/>
          <w:szCs w:val="28"/>
          <w:lang w:val="ru-RU"/>
        </w:rPr>
        <w:t xml:space="preserve"> в межах </w:t>
      </w:r>
      <w:proofErr w:type="spellStart"/>
      <w:r w:rsidR="006C6AD4" w:rsidRPr="0070576F">
        <w:rPr>
          <w:color w:val="000000" w:themeColor="text1"/>
          <w:sz w:val="28"/>
          <w:szCs w:val="28"/>
          <w:lang w:val="ru-RU"/>
        </w:rPr>
        <w:t>затвердженого</w:t>
      </w:r>
      <w:proofErr w:type="spellEnd"/>
      <w:r w:rsidR="00177706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C6AD4" w:rsidRPr="0070576F">
        <w:rPr>
          <w:color w:val="000000" w:themeColor="text1"/>
          <w:sz w:val="28"/>
          <w:szCs w:val="28"/>
          <w:lang w:val="ru-RU"/>
        </w:rPr>
        <w:t>Фінансового</w:t>
      </w:r>
      <w:proofErr w:type="spellEnd"/>
      <w:r w:rsidR="006C6AD4" w:rsidRPr="0070576F">
        <w:rPr>
          <w:color w:val="000000" w:themeColor="text1"/>
          <w:sz w:val="28"/>
          <w:szCs w:val="28"/>
          <w:lang w:val="ru-RU"/>
        </w:rPr>
        <w:t xml:space="preserve"> плану на 202</w:t>
      </w:r>
      <w:r w:rsidR="00137E83" w:rsidRPr="0070576F">
        <w:rPr>
          <w:color w:val="000000" w:themeColor="text1"/>
          <w:sz w:val="28"/>
          <w:szCs w:val="28"/>
          <w:lang w:val="ru-RU"/>
        </w:rPr>
        <w:t>4</w:t>
      </w:r>
      <w:r w:rsidR="006C6AD4" w:rsidRPr="007057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C6AD4" w:rsidRPr="0070576F">
        <w:rPr>
          <w:color w:val="000000" w:themeColor="text1"/>
          <w:sz w:val="28"/>
          <w:szCs w:val="28"/>
          <w:lang w:val="ru-RU"/>
        </w:rPr>
        <w:t>рік</w:t>
      </w:r>
      <w:proofErr w:type="spellEnd"/>
      <w:r w:rsidR="006C6AD4" w:rsidRPr="0070576F">
        <w:rPr>
          <w:color w:val="000000" w:themeColor="text1"/>
          <w:sz w:val="28"/>
          <w:szCs w:val="28"/>
          <w:lang w:val="ru-RU"/>
        </w:rPr>
        <w:t xml:space="preserve">. </w:t>
      </w:r>
    </w:p>
    <w:p w:rsidR="006C6AD4" w:rsidRDefault="006C6AD4" w:rsidP="006C6AD4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Генеральний директор </w:t>
      </w:r>
    </w:p>
    <w:p w:rsidR="006C6AD4" w:rsidRDefault="006C6AD4" w:rsidP="006C6AD4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КНП «Ніжинська центральна</w:t>
      </w:r>
    </w:p>
    <w:p w:rsidR="006C6AD4" w:rsidRPr="000C28D1" w:rsidRDefault="006C6AD4" w:rsidP="006C6AD4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міська лікарня ім. М. Галицького»                Ольга ШВЕЦЬ</w:t>
      </w:r>
    </w:p>
    <w:sectPr w:rsidR="006C6AD4" w:rsidRPr="000C28D1" w:rsidSect="006C6AD4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4DE21FE4"/>
    <w:multiLevelType w:val="hybridMultilevel"/>
    <w:tmpl w:val="A1F4BE52"/>
    <w:lvl w:ilvl="0" w:tplc="B3CE7276">
      <w:start w:val="3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3DA"/>
    <w:rsid w:val="0003305B"/>
    <w:rsid w:val="00042405"/>
    <w:rsid w:val="0006019A"/>
    <w:rsid w:val="0006475E"/>
    <w:rsid w:val="00064CE9"/>
    <w:rsid w:val="00065ABE"/>
    <w:rsid w:val="00066DD2"/>
    <w:rsid w:val="000738D2"/>
    <w:rsid w:val="00087565"/>
    <w:rsid w:val="000E7D3E"/>
    <w:rsid w:val="0012045C"/>
    <w:rsid w:val="00125EEB"/>
    <w:rsid w:val="00137E83"/>
    <w:rsid w:val="00146901"/>
    <w:rsid w:val="001505BB"/>
    <w:rsid w:val="00154B36"/>
    <w:rsid w:val="00167911"/>
    <w:rsid w:val="001732F9"/>
    <w:rsid w:val="00177706"/>
    <w:rsid w:val="001A1D24"/>
    <w:rsid w:val="001C33DA"/>
    <w:rsid w:val="001E5660"/>
    <w:rsid w:val="001F30BF"/>
    <w:rsid w:val="002007A9"/>
    <w:rsid w:val="00206C16"/>
    <w:rsid w:val="00213A31"/>
    <w:rsid w:val="00225928"/>
    <w:rsid w:val="00245EA8"/>
    <w:rsid w:val="00272972"/>
    <w:rsid w:val="00272CF3"/>
    <w:rsid w:val="002836D5"/>
    <w:rsid w:val="002D257C"/>
    <w:rsid w:val="00357303"/>
    <w:rsid w:val="0037720C"/>
    <w:rsid w:val="00377796"/>
    <w:rsid w:val="0038731A"/>
    <w:rsid w:val="00391FC4"/>
    <w:rsid w:val="0039460D"/>
    <w:rsid w:val="003A45B3"/>
    <w:rsid w:val="003D2CA7"/>
    <w:rsid w:val="003E758D"/>
    <w:rsid w:val="00427AB0"/>
    <w:rsid w:val="00457095"/>
    <w:rsid w:val="0046410A"/>
    <w:rsid w:val="0048499F"/>
    <w:rsid w:val="004920AB"/>
    <w:rsid w:val="00497F59"/>
    <w:rsid w:val="004A26CB"/>
    <w:rsid w:val="004B36E0"/>
    <w:rsid w:val="004E1BA2"/>
    <w:rsid w:val="00506DD1"/>
    <w:rsid w:val="005070BE"/>
    <w:rsid w:val="00516281"/>
    <w:rsid w:val="00530745"/>
    <w:rsid w:val="00541C05"/>
    <w:rsid w:val="00553483"/>
    <w:rsid w:val="0057148F"/>
    <w:rsid w:val="0057188A"/>
    <w:rsid w:val="00576D5C"/>
    <w:rsid w:val="005B5F65"/>
    <w:rsid w:val="005C63E2"/>
    <w:rsid w:val="00604127"/>
    <w:rsid w:val="00624D50"/>
    <w:rsid w:val="00637587"/>
    <w:rsid w:val="00660819"/>
    <w:rsid w:val="00671256"/>
    <w:rsid w:val="00697F40"/>
    <w:rsid w:val="006B6EDA"/>
    <w:rsid w:val="006C6AD4"/>
    <w:rsid w:val="0070576F"/>
    <w:rsid w:val="0071489C"/>
    <w:rsid w:val="00723844"/>
    <w:rsid w:val="00743C83"/>
    <w:rsid w:val="007504E4"/>
    <w:rsid w:val="00775CAE"/>
    <w:rsid w:val="007A5D2E"/>
    <w:rsid w:val="007C257E"/>
    <w:rsid w:val="007F3DD1"/>
    <w:rsid w:val="00813BD8"/>
    <w:rsid w:val="0082789A"/>
    <w:rsid w:val="0086766A"/>
    <w:rsid w:val="008B2009"/>
    <w:rsid w:val="008B68A8"/>
    <w:rsid w:val="0092061F"/>
    <w:rsid w:val="009367EC"/>
    <w:rsid w:val="00937C01"/>
    <w:rsid w:val="00956254"/>
    <w:rsid w:val="00981997"/>
    <w:rsid w:val="009864F2"/>
    <w:rsid w:val="00996662"/>
    <w:rsid w:val="009A4F85"/>
    <w:rsid w:val="009E5E6B"/>
    <w:rsid w:val="009E71EE"/>
    <w:rsid w:val="00A00AA4"/>
    <w:rsid w:val="00A1375D"/>
    <w:rsid w:val="00A268C8"/>
    <w:rsid w:val="00A3510C"/>
    <w:rsid w:val="00A56FCD"/>
    <w:rsid w:val="00A743E5"/>
    <w:rsid w:val="00A805B4"/>
    <w:rsid w:val="00A80BDE"/>
    <w:rsid w:val="00AB2529"/>
    <w:rsid w:val="00AB7FFC"/>
    <w:rsid w:val="00AD4898"/>
    <w:rsid w:val="00AD5DD6"/>
    <w:rsid w:val="00AD63E1"/>
    <w:rsid w:val="00AF1362"/>
    <w:rsid w:val="00AF1464"/>
    <w:rsid w:val="00AF1B49"/>
    <w:rsid w:val="00AF31FF"/>
    <w:rsid w:val="00B163D2"/>
    <w:rsid w:val="00B2276D"/>
    <w:rsid w:val="00B617E0"/>
    <w:rsid w:val="00B62625"/>
    <w:rsid w:val="00B757E2"/>
    <w:rsid w:val="00B9530B"/>
    <w:rsid w:val="00B9741F"/>
    <w:rsid w:val="00BC3758"/>
    <w:rsid w:val="00BC575D"/>
    <w:rsid w:val="00C22FE2"/>
    <w:rsid w:val="00C7034E"/>
    <w:rsid w:val="00C80368"/>
    <w:rsid w:val="00C8210E"/>
    <w:rsid w:val="00C85AB2"/>
    <w:rsid w:val="00C9674D"/>
    <w:rsid w:val="00CA4C8F"/>
    <w:rsid w:val="00CF7D7A"/>
    <w:rsid w:val="00D02DF7"/>
    <w:rsid w:val="00D05C0C"/>
    <w:rsid w:val="00D253D8"/>
    <w:rsid w:val="00D26AD5"/>
    <w:rsid w:val="00D27997"/>
    <w:rsid w:val="00D53F89"/>
    <w:rsid w:val="00D672FA"/>
    <w:rsid w:val="00DB1F87"/>
    <w:rsid w:val="00DF33A8"/>
    <w:rsid w:val="00DF78CC"/>
    <w:rsid w:val="00E166B7"/>
    <w:rsid w:val="00E17D75"/>
    <w:rsid w:val="00E37C46"/>
    <w:rsid w:val="00E44B27"/>
    <w:rsid w:val="00E46618"/>
    <w:rsid w:val="00E81AFC"/>
    <w:rsid w:val="00E83444"/>
    <w:rsid w:val="00E83904"/>
    <w:rsid w:val="00E87E31"/>
    <w:rsid w:val="00EA09B0"/>
    <w:rsid w:val="00EB6815"/>
    <w:rsid w:val="00EC0A58"/>
    <w:rsid w:val="00EC7443"/>
    <w:rsid w:val="00F07293"/>
    <w:rsid w:val="00F357BE"/>
    <w:rsid w:val="00F53036"/>
    <w:rsid w:val="00F61ED2"/>
    <w:rsid w:val="00F62A4E"/>
    <w:rsid w:val="00F71721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  <w:style w:type="paragraph" w:styleId="a6">
    <w:name w:val="No Spacing"/>
    <w:uiPriority w:val="1"/>
    <w:qFormat/>
    <w:rsid w:val="006C6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FontStyle15">
    <w:name w:val="Font Style15"/>
    <w:rsid w:val="006C6AD4"/>
    <w:rPr>
      <w:rFonts w:ascii="Times New Roman" w:hAnsi="Times New Roman" w:cs="Times New Roman" w:hint="default"/>
      <w:sz w:val="26"/>
      <w:szCs w:val="26"/>
    </w:rPr>
  </w:style>
  <w:style w:type="paragraph" w:styleId="a7">
    <w:name w:val="List Paragraph"/>
    <w:basedOn w:val="a"/>
    <w:uiPriority w:val="34"/>
    <w:qFormat/>
    <w:rsid w:val="006C6AD4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6C1CE-1C51-44CC-8F26-8C3F55EAF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2023-04-12T09:54:00Z</cp:lastPrinted>
  <dcterms:created xsi:type="dcterms:W3CDTF">2024-02-13T06:49:00Z</dcterms:created>
  <dcterms:modified xsi:type="dcterms:W3CDTF">2024-02-19T11:12:00Z</dcterms:modified>
</cp:coreProperties>
</file>