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8" w:rsidRDefault="00F70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D54EA8" w:rsidRDefault="00F70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D54EA8" w:rsidRDefault="00F70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:rsidR="00D54EA8" w:rsidRDefault="00D54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567"/>
        <w:gridCol w:w="1644"/>
      </w:tblGrid>
      <w:tr w:rsidR="00D54EA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23 від 05.06.2025року</w:t>
            </w:r>
          </w:p>
        </w:tc>
      </w:tr>
      <w:tr w:rsidR="00D54E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D54EA8">
        <w:trPr>
          <w:trHeight w:val="7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відзначення з нагоди Дня журналіста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1763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Про внесення змін до рішення  виконавчого комітету Ніжинської міської ради № 567 від 13.12.2023 р. «Про платні послуги Ніжинської міської централізованої бібліотечної системи Ніжинської міської ради Чернігівської області»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</w:tr>
      <w:tr w:rsidR="00D54EA8">
        <w:trPr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Pr="00AB1763" w:rsidRDefault="00F706C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складу опікунської ради при виконавчому комітеті Ніжинської міської ради, затвердженого рішенням виконавчого комітету Ніжинської міської ради від 09.01.2025 року № 04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відшкодування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виконавцю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ритуальних послуг витрат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поховання загиблих (померлих) військовослужбовців Збройних Сил України та інших військових формувань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</w:tr>
      <w:tr w:rsidR="00D54EA8">
        <w:trPr>
          <w:trHeight w:val="5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компенсації за пошкоджені об’єкти нерухомого майна, внаслідок  бойових дій,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компенсації за знищені об’єкти нерухомого майна, внаслідок  бойових дій, терористичних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pStyle w:val="21"/>
              <w:shd w:val="clear" w:color="auto" w:fill="auto"/>
              <w:spacing w:line="322" w:lineRule="exact"/>
              <w:ind w:left="2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 внесення   змін   до   п.1   рішення   виконавчого комітету Ніжинської міської ради  від 10.02.2022 року №39 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«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uk-UA"/>
                </w:rPr>
                <w:t xml:space="preserve"> Про    створення   постійно   діючої    комісії  з питань   визначення  стану   зелених    насаджень  та їх  відновної  вартості  у  населених  пунктах  Ніжинської  територіальної  громади  та затвердження  Положення про постійно діючу комісію з питань ви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uk-UA"/>
                </w:rPr>
                <w:t>значення стану зелених насаджень та їх відновної вартості у населених пунктах Ніжинської територіальної громади»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</w:tr>
      <w:tr w:rsidR="00D54EA8">
        <w:trPr>
          <w:trHeight w:val="5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плати за надання послуги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 медичного обслуговування населенняза плату від юридичних і фізичних осіб,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надаються КНП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«Ніжинська ЦМЛ ім.М.Галицького»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shd w:val="clear" w:color="auto" w:fill="FCFCFC"/>
              <w:tabs>
                <w:tab w:val="left" w:pos="426"/>
              </w:tabs>
              <w:ind w:left="31" w:right="86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переоснащення)об’єктів, 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споруджуються за рахунок  коштів бюджету Ніжинської територіальної громади та коштів підприємств, установ, організацій комунальної власності, а також кредитів, наданих під державні гарантії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витрат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пов'язаних з організацією та проведенням семінару «Чиста енергія для ніжинців» представників проєкту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ANEW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LIFE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«Задоволення потреб у переході на чисту енергетику.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Готовність українських міст до залучення інноваційного переходу»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D54EA8">
        <w:trPr>
          <w:trHeight w:val="7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засвід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чення заяви Жимань Людмили Анатоліївни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засвідчення заяви Сатіної Тетяни Сергіївни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засвідчення заяви Гірс Альони Леонідівни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засвідчення заяви Шкарупи Оксани Леонідівни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Про засвідчення заяви Костюк Мирослави Миколаївни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Про засвідчення заяви Власенко Оксани Василівни щодо виїзду дитини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матеріалівслужби у справах дітей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внесення змін до бюджету Ніжинської міської територіальної громади на 2025 рік (код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F706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</w:tr>
      <w:tr w:rsidR="00D54EA8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D54E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EA8" w:rsidRDefault="00D54EA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4EA8" w:rsidRDefault="00D54EA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54EA8" w:rsidSect="00D54EA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CE" w:rsidRDefault="00F706CE">
      <w:pPr>
        <w:spacing w:line="240" w:lineRule="auto"/>
      </w:pPr>
      <w:r>
        <w:separator/>
      </w:r>
    </w:p>
  </w:endnote>
  <w:endnote w:type="continuationSeparator" w:id="1">
    <w:p w:rsidR="00F706CE" w:rsidRDefault="00F70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CE" w:rsidRDefault="00F706CE">
      <w:pPr>
        <w:spacing w:after="0"/>
      </w:pPr>
      <w:r>
        <w:separator/>
      </w:r>
    </w:p>
  </w:footnote>
  <w:footnote w:type="continuationSeparator" w:id="1">
    <w:p w:rsidR="00F706CE" w:rsidRDefault="00F706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1763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54EA8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06CE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HTML Preformatted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A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D54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54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rsid w:val="00D54E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4EA8"/>
    <w:rPr>
      <w:i/>
      <w:iCs/>
    </w:rPr>
  </w:style>
  <w:style w:type="character" w:styleId="a4">
    <w:name w:val="Hyperlink"/>
    <w:uiPriority w:val="99"/>
    <w:unhideWhenUsed/>
    <w:qFormat/>
    <w:rsid w:val="00D54EA8"/>
    <w:rPr>
      <w:color w:val="0000FF"/>
      <w:u w:val="single"/>
    </w:rPr>
  </w:style>
  <w:style w:type="character" w:styleId="a5">
    <w:name w:val="Strong"/>
    <w:basedOn w:val="a0"/>
    <w:uiPriority w:val="22"/>
    <w:qFormat/>
    <w:rsid w:val="00D54EA8"/>
    <w:rPr>
      <w:b/>
      <w:bCs/>
    </w:rPr>
  </w:style>
  <w:style w:type="paragraph" w:styleId="2">
    <w:name w:val="Body Text 2"/>
    <w:basedOn w:val="a"/>
    <w:qFormat/>
    <w:rsid w:val="00D54EA8"/>
    <w:rPr>
      <w:sz w:val="28"/>
    </w:rPr>
  </w:style>
  <w:style w:type="paragraph" w:styleId="a6">
    <w:name w:val="Body Text Indent"/>
    <w:basedOn w:val="a"/>
    <w:link w:val="a7"/>
    <w:qFormat/>
    <w:rsid w:val="00D54EA8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D5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rsid w:val="00D54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sid w:val="00D54EA8"/>
    <w:rPr>
      <w:sz w:val="22"/>
      <w:szCs w:val="22"/>
    </w:rPr>
  </w:style>
  <w:style w:type="paragraph" w:customStyle="1" w:styleId="10">
    <w:name w:val="Обычный1"/>
    <w:link w:val="1Char"/>
    <w:qFormat/>
    <w:rsid w:val="00D54EA8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D54EA8"/>
  </w:style>
  <w:style w:type="character" w:customStyle="1" w:styleId="a7">
    <w:name w:val="Основной текст с отступом Знак"/>
    <w:basedOn w:val="a0"/>
    <w:link w:val="a6"/>
    <w:qFormat/>
    <w:rsid w:val="00D54EA8"/>
    <w:rPr>
      <w:b/>
      <w:lang w:val="uk-UA"/>
    </w:rPr>
  </w:style>
  <w:style w:type="paragraph" w:customStyle="1" w:styleId="20">
    <w:name w:val="Знак Знак2"/>
    <w:basedOn w:val="a"/>
    <w:qFormat/>
    <w:rsid w:val="00D54E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sid w:val="00D54EA8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rsid w:val="00D54EA8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D54EA8"/>
    <w:pPr>
      <w:ind w:left="720"/>
      <w:contextualSpacing/>
    </w:pPr>
  </w:style>
  <w:style w:type="paragraph" w:customStyle="1" w:styleId="tj">
    <w:name w:val="tj"/>
    <w:basedOn w:val="a"/>
    <w:qFormat/>
    <w:rsid w:val="00D5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D5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D54EA8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D54EA8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D54EA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sid w:val="00D54EA8"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rsid w:val="00D54EA8"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  <w:rsid w:val="00D54EA8"/>
  </w:style>
  <w:style w:type="paragraph" w:customStyle="1" w:styleId="31">
    <w:name w:val="Обычный3"/>
    <w:qFormat/>
    <w:rsid w:val="00D54EA8"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  <w:rsid w:val="00D54EA8"/>
  </w:style>
  <w:style w:type="character" w:customStyle="1" w:styleId="1Char">
    <w:name w:val="Обычный1 Char"/>
    <w:link w:val="10"/>
    <w:qFormat/>
    <w:rsid w:val="00D54EA8"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D54EA8"/>
    <w:rPr>
      <w:rFonts w:ascii="Courier New" w:eastAsia="Times New Roman" w:hAnsi="Courier New" w:cs="Courier New"/>
    </w:rPr>
  </w:style>
  <w:style w:type="paragraph" w:customStyle="1" w:styleId="5">
    <w:name w:val="Обычный5"/>
    <w:qFormat/>
    <w:rsid w:val="00D54EA8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sid w:val="00D54E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FontStyle13">
    <w:name w:val="Font Style13"/>
    <w:basedOn w:val="a0"/>
    <w:qFormat/>
    <w:rsid w:val="00D54E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Company>Grizli777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2025-06-05T14:04:00Z</dcterms:created>
  <dcterms:modified xsi:type="dcterms:W3CDTF">2025-06-05T14:04:00Z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2E81B2D3A57B4511B460CF09225A22C9</vt:lpwstr>
  </property>
</Properties>
</file>