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clear" w:pos="708"/>
          <w:tab w:val="left" w:pos="5808" w:leader="none"/>
        </w:tabs>
        <w:spacing w:lineRule="auto" w:line="240" w:before="0" w:after="0"/>
        <w:rPr>
          <w:b/>
          <w:b/>
          <w:sz w:val="24"/>
          <w:szCs w:val="24"/>
        </w:rPr>
      </w:pPr>
      <w:r>
        <w:rPr>
          <w:b/>
          <w:sz w:val="24"/>
          <w:szCs w:val="24"/>
        </w:rPr>
        <w:t xml:space="preserve">                                                                               </w:t>
      </w:r>
      <w:r>
        <w:rPr>
          <w:b/>
          <w:sz w:val="24"/>
          <w:szCs w:val="24"/>
        </w:rPr>
        <w:tab/>
        <w:t xml:space="preserve"> </w:t>
      </w:r>
    </w:p>
    <w:p>
      <w:pPr>
        <w:pStyle w:val="Normal"/>
        <w:widowControl w:val="false"/>
        <w:tabs>
          <w:tab w:val="clear" w:pos="708"/>
          <w:tab w:val="left" w:pos="5808" w:leader="none"/>
        </w:tabs>
        <w:spacing w:lineRule="auto" w:line="240" w:before="0" w:after="0"/>
        <w:jc w:val="center"/>
        <w:rPr>
          <w:b/>
          <w:b/>
          <w:sz w:val="24"/>
          <w:szCs w:val="24"/>
        </w:rPr>
      </w:pPr>
      <w:r>
        <w:rPr>
          <w:b/>
          <w:sz w:val="24"/>
          <w:szCs w:val="24"/>
        </w:rPr>
        <w:t xml:space="preserve">  </w:t>
      </w:r>
      <w:r>
        <w:rPr/>
        <w:drawing>
          <wp:inline distT="0" distB="0" distL="0" distR="0">
            <wp:extent cx="484505" cy="60071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484505" cy="600710"/>
                    </a:xfrm>
                    <a:prstGeom prst="rect">
                      <a:avLst/>
                    </a:prstGeom>
                  </pic:spPr>
                </pic:pic>
              </a:graphicData>
            </a:graphic>
          </wp:inline>
        </w:drawing>
      </w:r>
      <w:r>
        <w:rPr>
          <w:b/>
          <w:sz w:val="24"/>
          <w:szCs w:val="24"/>
        </w:rPr>
        <w:t xml:space="preserve">                                                         </w:t>
      </w:r>
    </w:p>
    <w:p>
      <w:pPr>
        <w:pStyle w:val="Normal"/>
        <w:widowControl w:val="false"/>
        <w:spacing w:lineRule="auto" w:line="240" w:before="0" w:after="0"/>
        <w:jc w:val="center"/>
        <w:rPr>
          <w:rFonts w:ascii="Times New Roman" w:hAnsi="Times New Roman" w:eastAsia="Times New Roman" w:cs="Times New Roman"/>
          <w:b/>
          <w:b/>
          <w:sz w:val="24"/>
          <w:szCs w:val="24"/>
        </w:rPr>
      </w:pPr>
      <w:r>
        <w:rPr>
          <w:rFonts w:eastAsia="Times New Roman" w:cs="Times New Roman" w:ascii="Times New Roman" w:hAnsi="Times New Roman"/>
          <w:b/>
          <w:sz w:val="28"/>
          <w:szCs w:val="28"/>
        </w:rPr>
        <w:t>УКРАЇНА</w:t>
      </w:r>
    </w:p>
    <w:p>
      <w:pPr>
        <w:pStyle w:val="Normal"/>
        <w:widowControl w:val="false"/>
        <w:tabs>
          <w:tab w:val="clear" w:pos="708"/>
          <w:tab w:val="center" w:pos="4677" w:leader="none"/>
          <w:tab w:val="left" w:pos="7635" w:leader="none"/>
        </w:tabs>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sz w:val="28"/>
          <w:szCs w:val="28"/>
        </w:rPr>
        <w:t>ЧЕРНІГІВСЬКА ОБЛАСТЬ</w:t>
      </w:r>
    </w:p>
    <w:p>
      <w:pPr>
        <w:pStyle w:val="Normal"/>
        <w:widowControl w:val="false"/>
        <w:spacing w:lineRule="auto" w:line="240" w:before="0" w:after="0"/>
        <w:jc w:val="center"/>
        <w:rPr>
          <w:rFonts w:ascii="Times New Roman" w:hAnsi="Times New Roman" w:eastAsia="Times New Roman" w:cs="Times New Roman"/>
          <w:sz w:val="6"/>
          <w:szCs w:val="6"/>
        </w:rPr>
      </w:pPr>
      <w:r>
        <w:rPr>
          <w:rFonts w:eastAsia="Times New Roman" w:cs="Times New Roman" w:ascii="Times New Roman" w:hAnsi="Times New Roman"/>
          <w:sz w:val="6"/>
          <w:szCs w:val="6"/>
        </w:rPr>
      </w:r>
    </w:p>
    <w:p>
      <w:pPr>
        <w:pStyle w:val="Normal"/>
        <w:widowControl w:val="false"/>
        <w:spacing w:lineRule="auto" w:line="240" w:before="0" w:after="0"/>
        <w:jc w:val="center"/>
        <w:rPr>
          <w:rFonts w:ascii="Times New Roman" w:hAnsi="Times New Roman" w:eastAsia="Times New Roman" w:cs="Times New Roman"/>
          <w:b/>
          <w:b/>
          <w:sz w:val="32"/>
          <w:szCs w:val="32"/>
        </w:rPr>
      </w:pPr>
      <w:r>
        <w:rPr>
          <w:rFonts w:eastAsia="Times New Roman" w:cs="Times New Roman" w:ascii="Times New Roman" w:hAnsi="Times New Roman"/>
          <w:b/>
          <w:sz w:val="32"/>
          <w:szCs w:val="32"/>
        </w:rPr>
        <w:t>Н І Ж И Н С Ь К А    М І С Ь К А    Р А Д А</w:t>
      </w:r>
    </w:p>
    <w:p>
      <w:pPr>
        <w:pStyle w:val="Normal"/>
        <w:widowControl w:val="false"/>
        <w:spacing w:lineRule="auto" w:line="240" w:before="0" w:after="0"/>
        <w:jc w:val="center"/>
        <w:rPr>
          <w:rFonts w:ascii="Times New Roman" w:hAnsi="Times New Roman" w:eastAsia="Times New Roman" w:cs="Times New Roman"/>
          <w:sz w:val="32"/>
          <w:szCs w:val="32"/>
        </w:rPr>
      </w:pPr>
      <w:r>
        <w:rPr>
          <w:rFonts w:eastAsia="Times New Roman" w:cs="Times New Roman" w:ascii="Times New Roman" w:hAnsi="Times New Roman"/>
          <w:sz w:val="32"/>
          <w:szCs w:val="32"/>
        </w:rPr>
        <w:t>49 сесія VIII скликання</w:t>
      </w:r>
    </w:p>
    <w:p>
      <w:pPr>
        <w:pStyle w:val="Normal"/>
        <w:widowControl w:val="false"/>
        <w:spacing w:lineRule="auto" w:line="240" w:before="0" w:after="0"/>
        <w:jc w:val="center"/>
        <w:rPr>
          <w:rFonts w:ascii="Times New Roman" w:hAnsi="Times New Roman" w:eastAsia="Times New Roman" w:cs="Times New Roman"/>
          <w:sz w:val="32"/>
          <w:szCs w:val="32"/>
        </w:rPr>
      </w:pPr>
      <w:r>
        <w:rPr>
          <w:rFonts w:eastAsia="Times New Roman" w:cs="Times New Roman" w:ascii="Times New Roman" w:hAnsi="Times New Roman"/>
          <w:sz w:val="32"/>
          <w:szCs w:val="32"/>
        </w:rPr>
      </w:r>
    </w:p>
    <w:p>
      <w:pPr>
        <w:pStyle w:val="Normal"/>
        <w:widowControl w:val="false"/>
        <w:spacing w:lineRule="auto" w:line="240" w:before="0" w:after="0"/>
        <w:jc w:val="center"/>
        <w:rPr>
          <w:rFonts w:ascii="Times New Roman" w:hAnsi="Times New Roman" w:eastAsia="Times New Roman" w:cs="Times New Roman"/>
          <w:b/>
          <w:b/>
          <w:sz w:val="40"/>
          <w:szCs w:val="40"/>
        </w:rPr>
      </w:pPr>
      <w:r>
        <w:rPr>
          <w:rFonts w:eastAsia="Times New Roman" w:cs="Times New Roman" w:ascii="Times New Roman" w:hAnsi="Times New Roman"/>
          <w:b/>
          <w:sz w:val="40"/>
          <w:szCs w:val="40"/>
        </w:rPr>
        <w:t>Р І Ш Е Н Н Я</w:t>
      </w:r>
    </w:p>
    <w:p>
      <w:pPr>
        <w:pStyle w:val="Normal"/>
        <w:spacing w:lineRule="auto" w:line="240" w:before="0" w:after="0"/>
        <w:jc w:val="center"/>
        <w:rPr>
          <w:rFonts w:ascii="Times New Roman" w:hAnsi="Times New Roman" w:eastAsia="Times New Roman" w:cs="Times New Roman"/>
          <w:b/>
          <w:b/>
          <w:sz w:val="12"/>
          <w:szCs w:val="12"/>
        </w:rPr>
      </w:pPr>
      <w:r>
        <w:rPr>
          <w:rFonts w:eastAsia="Times New Roman" w:cs="Times New Roman" w:ascii="Times New Roman" w:hAnsi="Times New Roman"/>
          <w:b/>
          <w:sz w:val="12"/>
          <w:szCs w:val="12"/>
        </w:rPr>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від   14  серпня 2025 р.</w:t>
        <w:tab/>
        <w:t xml:space="preserve">           </w:t>
        <w:tab/>
        <w:t>м. Ніжин</w:t>
        <w:tab/>
        <w:t xml:space="preserve">                         № 45-49/2025</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bl>
      <w:tblPr>
        <w:tblW w:w="9675" w:type="dxa"/>
        <w:jc w:val="left"/>
        <w:tblInd w:w="109" w:type="dxa"/>
        <w:tblLayout w:type="fixed"/>
        <w:tblCellMar>
          <w:top w:w="0" w:type="dxa"/>
          <w:left w:w="108" w:type="dxa"/>
          <w:bottom w:w="0" w:type="dxa"/>
          <w:right w:w="108" w:type="dxa"/>
        </w:tblCellMar>
        <w:tblLook w:firstRow="0" w:noVBand="0" w:lastRow="0" w:firstColumn="0" w:lastColumn="0" w:noHBand="0" w:val="0000"/>
      </w:tblPr>
      <w:tblGrid>
        <w:gridCol w:w="4837"/>
        <w:gridCol w:w="4837"/>
      </w:tblGrid>
      <w:tr>
        <w:trPr>
          <w:trHeight w:val="757" w:hRule="atLeast"/>
        </w:trPr>
        <w:tc>
          <w:tcPr>
            <w:tcW w:w="4837" w:type="dxa"/>
            <w:tcBorders/>
            <w:shd w:color="auto" w:fill="auto" w:val="clear"/>
          </w:tcPr>
          <w:p>
            <w:pPr>
              <w:pStyle w:val="Normal"/>
              <w:widowControl w:val="false"/>
              <w:spacing w:lineRule="auto" w:line="240" w:before="0" w:after="0"/>
              <w:ind w:left="-115" w:right="-150" w:hanging="0"/>
              <w:rPr>
                <w:rFonts w:ascii="Times New Roman" w:hAnsi="Times New Roman" w:eastAsia="Times New Roman" w:cs="Times New Roman"/>
                <w:sz w:val="28"/>
                <w:szCs w:val="28"/>
              </w:rPr>
            </w:pPr>
            <w:bookmarkStart w:id="0" w:name="_gjdgxs"/>
            <w:bookmarkEnd w:id="0"/>
            <w:r>
              <w:rPr>
                <w:rFonts w:eastAsia="Times New Roman" w:cs="Times New Roman" w:ascii="Times New Roman" w:hAnsi="Times New Roman"/>
                <w:sz w:val="28"/>
                <w:szCs w:val="28"/>
              </w:rPr>
              <w:t>Про затвердження Договору про співпрацю та встановлення пам’ятного знаку за ініціативи мецената Олександра Хонди</w:t>
            </w:r>
          </w:p>
        </w:tc>
        <w:tc>
          <w:tcPr>
            <w:tcW w:w="4837" w:type="dxa"/>
            <w:tcBorders/>
            <w:shd w:color="auto" w:fill="auto" w:val="clear"/>
          </w:tcPr>
          <w:p>
            <w:pPr>
              <w:pStyle w:val="Normal"/>
              <w:widowControl w:val="false"/>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r>
    </w:tbl>
    <w:p>
      <w:pPr>
        <w:pStyle w:val="Normal"/>
        <w:spacing w:lineRule="auto" w:line="240" w:before="0" w:after="0"/>
        <w:jc w:val="both"/>
        <w:rPr>
          <w:sz w:val="20"/>
          <w:szCs w:val="20"/>
        </w:rPr>
      </w:pPr>
      <w:r>
        <w:rPr>
          <w:sz w:val="20"/>
          <w:szCs w:val="20"/>
        </w:rPr>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Відповідно до статей 25, 26, 42, 59, 73 Закону України «Про місцеве самоврядування в Україні», Регламенту Ніжинської міської ради VIІI скликання від 27.11.2020 року №3-2/2020 (зі змінами), з метою створення комфортного громадського простору, вшанування видатних особистостей, а також у зв’язку з ініціативою мецената, ніжинця Хонди Олександра Валерійовича, щодо проведення   благоустрою   </w:t>
      </w:r>
      <w:r>
        <w:rPr>
          <w:rFonts w:eastAsia="Times New Roman" w:cs="Times New Roman" w:ascii="Times New Roman" w:hAnsi="Times New Roman"/>
          <w:color w:val="000000"/>
          <w:sz w:val="28"/>
          <w:szCs w:val="28"/>
        </w:rPr>
        <w:t>пішохідної   зони   біля   житлового   будинку № 11</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color w:val="000000"/>
          <w:sz w:val="28"/>
          <w:szCs w:val="28"/>
        </w:rPr>
        <w:t>по вул. Шевченка у м. Ніжин</w:t>
      </w:r>
      <w:r>
        <w:rPr>
          <w:rFonts w:eastAsia="Times New Roman" w:cs="Times New Roman" w:ascii="Times New Roman" w:hAnsi="Times New Roman"/>
          <w:sz w:val="28"/>
          <w:szCs w:val="28"/>
        </w:rPr>
        <w:t>,  міська рада вирішила:</w:t>
      </w:r>
    </w:p>
    <w:p>
      <w:pPr>
        <w:pStyle w:val="Normal"/>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numPr>
          <w:ilvl w:val="0"/>
          <w:numId w:val="1"/>
        </w:numPr>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Дозволити Хонді Олександру Валерійовичу за власною ініціативою встановити пам’ятний знак на честь видатного нейрохірурга  Хонди Олексія Миколайовича та провести благоустрою частини пішохідної   зони   біля   житлового  будинку  № 11 по вул. Шевченка у м. Ніжин.</w:t>
      </w:r>
    </w:p>
    <w:p>
      <w:pPr>
        <w:pStyle w:val="Normal"/>
        <w:widowControl w:val="false"/>
        <w:numPr>
          <w:ilvl w:val="0"/>
          <w:numId w:val="1"/>
        </w:numPr>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Затвердити  текст Договору про співробітництво, (додається).</w:t>
      </w:r>
    </w:p>
    <w:p>
      <w:pPr>
        <w:pStyle w:val="Normal"/>
        <w:widowControl w:val="false"/>
        <w:numPr>
          <w:ilvl w:val="0"/>
          <w:numId w:val="1"/>
        </w:numPr>
        <w:spacing w:lineRule="auto" w:line="240" w:before="0" w:after="0"/>
        <w:jc w:val="both"/>
        <w:rPr>
          <w:rFonts w:ascii="Times New Roman" w:hAnsi="Times New Roman" w:eastAsia="Times New Roman" w:cs="Times New Roman"/>
          <w:color w:val="000000"/>
          <w:sz w:val="28"/>
          <w:szCs w:val="28"/>
        </w:rPr>
      </w:pPr>
      <w:bookmarkStart w:id="1" w:name="_30j0zll"/>
      <w:bookmarkEnd w:id="1"/>
      <w:r>
        <w:rPr>
          <w:rFonts w:eastAsia="Times New Roman" w:cs="Times New Roman" w:ascii="Times New Roman" w:hAnsi="Times New Roman"/>
          <w:color w:val="000000"/>
          <w:sz w:val="28"/>
          <w:szCs w:val="28"/>
        </w:rPr>
        <w:t>Доручити  міському голові Кодолі О.М. підписати Договір про співробітництво, що затверджений у пункті 2 цього рішення.</w:t>
      </w:r>
    </w:p>
    <w:p>
      <w:pPr>
        <w:pStyle w:val="Normal"/>
        <w:widowControl w:val="false"/>
        <w:numPr>
          <w:ilvl w:val="0"/>
          <w:numId w:val="1"/>
        </w:numPr>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Відділу містобудування та архітектури виконавчого комітету Ніжинської міської ради (Попик А.І.) забезпечити оприлюднення даного рішення на офіційному сайті Ніжинської міської ради.</w:t>
      </w:r>
    </w:p>
    <w:p>
      <w:pPr>
        <w:pStyle w:val="Normal"/>
        <w:widowControl w:val="false"/>
        <w:numPr>
          <w:ilvl w:val="0"/>
          <w:numId w:val="1"/>
        </w:numPr>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Організацію виконання даного рішення покласти на заступників міського голови згідно з розподілом функціональних обов’язків та повноважень.</w:t>
      </w:r>
    </w:p>
    <w:p>
      <w:pPr>
        <w:pStyle w:val="Normal"/>
        <w:widowControl w:val="false"/>
        <w:numPr>
          <w:ilvl w:val="0"/>
          <w:numId w:val="1"/>
        </w:numPr>
        <w:spacing w:lineRule="auto" w:line="24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Контроль за виконанням даного рішення покласти на постійну комісію міської ради з питань регламенту, законності, охорони прав і свобод громадян, запобігання корупції, адміністративного-територіального устрою,      депутатської      діяльності     та     етики   (голова комісії  –</w:t>
      </w:r>
    </w:p>
    <w:p>
      <w:pPr>
        <w:pStyle w:val="Normal"/>
        <w:widowControl w:val="false"/>
        <w:spacing w:lineRule="auto" w:line="240" w:before="0" w:after="0"/>
        <w:ind w:left="960" w:hanging="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Салогуб В. В.).</w:t>
      </w:r>
    </w:p>
    <w:p>
      <w:pPr>
        <w:pStyle w:val="Normal"/>
        <w:tabs>
          <w:tab w:val="clear" w:pos="708"/>
          <w:tab w:val="left" w:pos="142" w:leader="none"/>
          <w:tab w:val="left" w:pos="284" w:leader="none"/>
          <w:tab w:val="left" w:pos="426" w:leader="none"/>
          <w:tab w:val="left" w:pos="2835"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tabs>
          <w:tab w:val="clear" w:pos="708"/>
          <w:tab w:val="left" w:pos="142" w:leader="none"/>
          <w:tab w:val="left" w:pos="284" w:leader="none"/>
          <w:tab w:val="left" w:pos="426" w:leader="none"/>
          <w:tab w:val="left" w:pos="2835" w:leader="none"/>
        </w:tabs>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Міський голова                                                                      Олександр КОДОЛА</w:t>
      </w:r>
    </w:p>
    <w:p>
      <w:pPr>
        <w:pStyle w:val="Normal"/>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rPr>
          <w:rFonts w:ascii="Times New Roman" w:hAnsi="Times New Roman" w:eastAsia="Times New Roman" w:cs="Times New Roman"/>
          <w:sz w:val="26"/>
          <w:szCs w:val="26"/>
        </w:rPr>
      </w:pPr>
      <w:r>
        <w:rPr>
          <w:rFonts w:eastAsia="Times New Roman" w:cs="Times New Roman" w:ascii="Times New Roman" w:hAnsi="Times New Roman"/>
          <w:b/>
          <w:sz w:val="26"/>
          <w:szCs w:val="26"/>
        </w:rPr>
        <w:t>Візують:</w:t>
      </w:r>
    </w:p>
    <w:p>
      <w:pPr>
        <w:pStyle w:val="Normal"/>
        <w:spacing w:lineRule="auto" w:line="240" w:before="0" w:after="0"/>
        <w:rPr>
          <w:sz w:val="28"/>
          <w:szCs w:val="28"/>
        </w:rPr>
      </w:pPr>
      <w:r>
        <w:rPr>
          <w:rFonts w:eastAsia="Times New Roman" w:cs="Times New Roman" w:ascii="Times New Roman" w:hAnsi="Times New Roman"/>
          <w:sz w:val="28"/>
          <w:szCs w:val="28"/>
        </w:rPr>
        <w:t xml:space="preserve">Т.в.о начальника відділу містобудування та архітектури — </w:t>
        <w:tab/>
        <w:t xml:space="preserve">                                      головного архітектора виконавчого комітету</w:t>
      </w:r>
    </w:p>
    <w:p>
      <w:pPr>
        <w:pStyle w:val="Normal"/>
        <w:spacing w:lineRule="auto" w:line="240" w:before="0" w:after="0"/>
        <w:rPr>
          <w:sz w:val="28"/>
          <w:szCs w:val="28"/>
        </w:rPr>
      </w:pPr>
      <w:r>
        <w:rPr>
          <w:rFonts w:eastAsia="Times New Roman" w:cs="Times New Roman" w:ascii="Times New Roman" w:hAnsi="Times New Roman"/>
          <w:sz w:val="28"/>
          <w:szCs w:val="28"/>
        </w:rPr>
        <w:t xml:space="preserve">Ніжинської міської ради                                                                     Алла  ПОПИК           </w:t>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rFonts w:eastAsia="Times New Roman" w:cs="Times New Roman" w:ascii="Times New Roman" w:hAnsi="Times New Roman"/>
          <w:sz w:val="28"/>
          <w:szCs w:val="28"/>
        </w:rPr>
        <w:tab/>
        <w:tab/>
        <w:tab/>
        <w:tab/>
        <w:t xml:space="preserve">   </w:t>
      </w:r>
    </w:p>
    <w:p>
      <w:pPr>
        <w:pStyle w:val="Normal"/>
        <w:spacing w:lineRule="auto" w:line="240" w:before="0" w:after="0"/>
        <w:rPr>
          <w:sz w:val="28"/>
          <w:szCs w:val="28"/>
        </w:rPr>
      </w:pPr>
      <w:r>
        <w:rPr>
          <w:rFonts w:eastAsia="Times New Roman" w:cs="Times New Roman" w:ascii="Times New Roman" w:hAnsi="Times New Roman"/>
          <w:sz w:val="28"/>
          <w:szCs w:val="28"/>
        </w:rPr>
        <w:t>Секретар міської ради</w:t>
        <w:tab/>
        <w:tab/>
        <w:tab/>
        <w:tab/>
        <w:tab/>
        <w:tab/>
        <w:tab/>
        <w:t>   Юрій ХОМЕНКО</w:t>
      </w:r>
    </w:p>
    <w:p>
      <w:pPr>
        <w:pStyle w:val="Normal"/>
        <w:spacing w:lineRule="auto" w:line="240" w:before="0" w:after="0"/>
        <w:rPr>
          <w:sz w:val="28"/>
          <w:szCs w:val="28"/>
        </w:rPr>
      </w:pPr>
      <w:r>
        <w:rPr>
          <w:rFonts w:eastAsia="Times New Roman" w:cs="Times New Roman" w:ascii="Times New Roman" w:hAnsi="Times New Roman"/>
          <w:sz w:val="28"/>
          <w:szCs w:val="28"/>
        </w:rPr>
        <w:t> </w:t>
      </w:r>
    </w:p>
    <w:p>
      <w:pPr>
        <w:pStyle w:val="Normal"/>
        <w:spacing w:lineRule="auto" w:line="240" w:before="0" w:after="0"/>
        <w:rPr>
          <w:sz w:val="28"/>
          <w:szCs w:val="28"/>
        </w:rPr>
      </w:pPr>
      <w:r>
        <w:rPr>
          <w:rFonts w:eastAsia="Times New Roman" w:cs="Times New Roman" w:ascii="Times New Roman" w:hAnsi="Times New Roman"/>
          <w:sz w:val="28"/>
          <w:szCs w:val="28"/>
        </w:rPr>
        <w:t>Заступник міського голови з питань</w:t>
      </w:r>
    </w:p>
    <w:p>
      <w:pPr>
        <w:pStyle w:val="Normal"/>
        <w:spacing w:lineRule="auto" w:line="240" w:before="0" w:after="0"/>
        <w:rPr>
          <w:sz w:val="28"/>
          <w:szCs w:val="28"/>
        </w:rPr>
      </w:pPr>
      <w:r>
        <w:rPr>
          <w:rFonts w:eastAsia="Times New Roman" w:cs="Times New Roman" w:ascii="Times New Roman" w:hAnsi="Times New Roman"/>
          <w:sz w:val="28"/>
          <w:szCs w:val="28"/>
        </w:rPr>
        <w:t>діяльності виконавчих органів ради</w:t>
        <w:tab/>
        <w:tab/>
        <w:tab/>
        <w:t>                   Сергій СМАГА</w:t>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sz w:val="28"/>
          <w:szCs w:val="28"/>
        </w:rPr>
      </w:pPr>
      <w:r>
        <w:rPr>
          <w:rFonts w:eastAsia="Times New Roman" w:cs="Times New Roman" w:ascii="Times New Roman" w:hAnsi="Times New Roman"/>
          <w:sz w:val="28"/>
          <w:szCs w:val="28"/>
        </w:rPr>
        <w:t>Начальник фінансового управління</w:t>
        <w:tab/>
        <w:tab/>
        <w:tab/>
        <w:t>             Людмила ПИСАРЕНКО</w:t>
      </w:r>
    </w:p>
    <w:p>
      <w:pPr>
        <w:pStyle w:val="Normal"/>
        <w:spacing w:lineRule="auto" w:line="240" w:before="0" w:after="0"/>
        <w:rPr>
          <w:sz w:val="28"/>
          <w:szCs w:val="28"/>
        </w:rPr>
      </w:pPr>
      <w:r>
        <w:rPr>
          <w:rFonts w:eastAsia="Times New Roman" w:cs="Times New Roman" w:ascii="Times New Roman" w:hAnsi="Times New Roman"/>
          <w:sz w:val="28"/>
          <w:szCs w:val="28"/>
        </w:rPr>
        <w:t> </w:t>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rFonts w:eastAsia="Times New Roman" w:cs="Times New Roman" w:ascii="Times New Roman" w:hAnsi="Times New Roman"/>
          <w:sz w:val="28"/>
          <w:szCs w:val="28"/>
        </w:rPr>
        <w:t xml:space="preserve">Начальник відділу </w:t>
      </w:r>
    </w:p>
    <w:p>
      <w:pPr>
        <w:pStyle w:val="Normal"/>
        <w:spacing w:lineRule="auto" w:line="240" w:before="0" w:after="0"/>
        <w:rPr>
          <w:sz w:val="28"/>
          <w:szCs w:val="28"/>
        </w:rPr>
      </w:pPr>
      <w:r>
        <w:rPr>
          <w:rFonts w:eastAsia="Times New Roman" w:cs="Times New Roman" w:ascii="Times New Roman" w:hAnsi="Times New Roman"/>
          <w:sz w:val="28"/>
          <w:szCs w:val="28"/>
        </w:rPr>
        <w:t>юридично-кадрового забезпечення</w:t>
        <w:tab/>
        <w:tab/>
        <w:tab/>
        <w:tab/>
        <w:tab/>
        <w:t>      В’ячеслав ЛЕГА</w:t>
      </w:r>
    </w:p>
    <w:p>
      <w:pPr>
        <w:pStyle w:val="Normal"/>
        <w:spacing w:lineRule="auto" w:line="240" w:before="0" w:after="0"/>
        <w:rPr>
          <w:sz w:val="28"/>
          <w:szCs w:val="28"/>
        </w:rPr>
      </w:pPr>
      <w:r>
        <w:rPr>
          <w:rFonts w:eastAsia="Times New Roman" w:cs="Times New Roman" w:ascii="Times New Roman" w:hAnsi="Times New Roman"/>
          <w:sz w:val="28"/>
          <w:szCs w:val="28"/>
        </w:rPr>
        <w:t> </w:t>
      </w:r>
    </w:p>
    <w:p>
      <w:pPr>
        <w:pStyle w:val="Normal"/>
        <w:spacing w:lineRule="auto" w:line="240" w:before="0" w:after="0"/>
        <w:rPr>
          <w:sz w:val="28"/>
          <w:szCs w:val="28"/>
        </w:rPr>
      </w:pPr>
      <w:r>
        <w:rPr>
          <w:rFonts w:eastAsia="Times New Roman" w:cs="Times New Roman" w:ascii="Times New Roman" w:hAnsi="Times New Roman"/>
          <w:sz w:val="28"/>
          <w:szCs w:val="28"/>
        </w:rPr>
        <w:t>Голова постійної комісії міської ради з</w:t>
      </w:r>
    </w:p>
    <w:p>
      <w:pPr>
        <w:pStyle w:val="Normal"/>
        <w:spacing w:lineRule="auto" w:line="240" w:before="0" w:after="0"/>
        <w:rPr>
          <w:sz w:val="28"/>
          <w:szCs w:val="28"/>
        </w:rPr>
      </w:pPr>
      <w:r>
        <w:rPr>
          <w:rFonts w:eastAsia="Times New Roman" w:cs="Times New Roman" w:ascii="Times New Roman" w:hAnsi="Times New Roman"/>
          <w:sz w:val="28"/>
          <w:szCs w:val="28"/>
        </w:rPr>
        <w:t>питань регламенту, законності, охорони</w:t>
      </w:r>
    </w:p>
    <w:p>
      <w:pPr>
        <w:pStyle w:val="Normal"/>
        <w:spacing w:lineRule="auto" w:line="240" w:before="0" w:after="0"/>
        <w:rPr>
          <w:sz w:val="28"/>
          <w:szCs w:val="28"/>
        </w:rPr>
      </w:pPr>
      <w:r>
        <w:rPr>
          <w:rFonts w:eastAsia="Times New Roman" w:cs="Times New Roman" w:ascii="Times New Roman" w:hAnsi="Times New Roman"/>
          <w:sz w:val="28"/>
          <w:szCs w:val="28"/>
        </w:rPr>
        <w:t>прав і свобод громадян, запобігання корупції,</w:t>
      </w:r>
    </w:p>
    <w:p>
      <w:pPr>
        <w:pStyle w:val="Normal"/>
        <w:spacing w:lineRule="auto" w:line="240" w:before="0" w:after="0"/>
        <w:rPr>
          <w:sz w:val="28"/>
          <w:szCs w:val="28"/>
        </w:rPr>
      </w:pPr>
      <w:r>
        <w:rPr>
          <w:rFonts w:eastAsia="Times New Roman" w:cs="Times New Roman" w:ascii="Times New Roman" w:hAnsi="Times New Roman"/>
          <w:sz w:val="28"/>
          <w:szCs w:val="28"/>
        </w:rPr>
        <w:t>адміністративного-територіального устрою,</w:t>
      </w:r>
    </w:p>
    <w:p>
      <w:pPr>
        <w:pStyle w:val="Normal"/>
        <w:spacing w:lineRule="auto" w:line="240" w:before="0" w:after="0"/>
        <w:rPr>
          <w:sz w:val="28"/>
          <w:szCs w:val="28"/>
        </w:rPr>
      </w:pPr>
      <w:r>
        <w:rPr>
          <w:rFonts w:eastAsia="Times New Roman" w:cs="Times New Roman" w:ascii="Times New Roman" w:hAnsi="Times New Roman"/>
          <w:sz w:val="28"/>
          <w:szCs w:val="28"/>
        </w:rPr>
        <w:t>депутатської діяльності та етики</w:t>
        <w:tab/>
        <w:tab/>
        <w:tab/>
        <w:tab/>
        <w:t>            Валерій САЛОГУБ</w:t>
      </w:r>
    </w:p>
    <w:p>
      <w:pPr>
        <w:pStyle w:val="Normal"/>
        <w:spacing w:lineRule="auto" w:line="240" w:before="0" w:after="0"/>
        <w:rPr>
          <w:sz w:val="28"/>
          <w:szCs w:val="28"/>
        </w:rPr>
      </w:pPr>
      <w:r>
        <w:rPr>
          <w:rFonts w:eastAsia="Times New Roman" w:cs="Times New Roman" w:ascii="Times New Roman" w:hAnsi="Times New Roman"/>
          <w:sz w:val="28"/>
          <w:szCs w:val="28"/>
        </w:rPr>
        <w:t> </w:t>
      </w:r>
    </w:p>
    <w:p>
      <w:pPr>
        <w:pStyle w:val="Normal"/>
        <w:spacing w:lineRule="auto" w:line="240" w:before="0" w:after="0"/>
        <w:rPr>
          <w:sz w:val="28"/>
          <w:szCs w:val="28"/>
        </w:rPr>
      </w:pPr>
      <w:r>
        <w:rPr>
          <w:rFonts w:eastAsia="Times New Roman" w:cs="Times New Roman" w:ascii="Times New Roman" w:hAnsi="Times New Roman"/>
          <w:sz w:val="28"/>
          <w:szCs w:val="28"/>
        </w:rPr>
        <w:t>Голова постійної комісії міської ради з питань</w:t>
      </w:r>
    </w:p>
    <w:p>
      <w:pPr>
        <w:pStyle w:val="Normal"/>
        <w:spacing w:lineRule="auto" w:line="240" w:before="0" w:after="0"/>
        <w:rPr>
          <w:sz w:val="28"/>
          <w:szCs w:val="28"/>
        </w:rPr>
      </w:pPr>
      <w:r>
        <w:rPr>
          <w:rFonts w:eastAsia="Times New Roman" w:cs="Times New Roman" w:ascii="Times New Roman" w:hAnsi="Times New Roman"/>
          <w:sz w:val="28"/>
          <w:szCs w:val="28"/>
        </w:rPr>
        <w:t xml:space="preserve">соціально-економічного розвитку, </w:t>
      </w:r>
    </w:p>
    <w:p>
      <w:pPr>
        <w:pStyle w:val="Normal"/>
        <w:spacing w:lineRule="auto" w:line="240" w:before="0" w:after="0"/>
        <w:rPr>
          <w:sz w:val="28"/>
          <w:szCs w:val="28"/>
        </w:rPr>
      </w:pPr>
      <w:r>
        <w:rPr>
          <w:rFonts w:eastAsia="Times New Roman" w:cs="Times New Roman" w:ascii="Times New Roman" w:hAnsi="Times New Roman"/>
          <w:sz w:val="28"/>
          <w:szCs w:val="28"/>
        </w:rPr>
        <w:t xml:space="preserve">підприємництва, інвестиційної </w:t>
      </w:r>
    </w:p>
    <w:p>
      <w:pPr>
        <w:pStyle w:val="Normal"/>
        <w:spacing w:lineRule="auto" w:line="240" w:before="0" w:after="0"/>
        <w:rPr>
          <w:sz w:val="28"/>
          <w:szCs w:val="28"/>
        </w:rPr>
      </w:pPr>
      <w:r>
        <w:rPr>
          <w:rFonts w:eastAsia="Times New Roman" w:cs="Times New Roman" w:ascii="Times New Roman" w:hAnsi="Times New Roman"/>
          <w:sz w:val="28"/>
          <w:szCs w:val="28"/>
        </w:rPr>
        <w:t>діяльності, бюджету та фінансів</w:t>
        <w:tab/>
        <w:tab/>
        <w:tab/>
        <w:t>             Володимир МАМЕДОВ</w:t>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sz w:val="28"/>
          <w:szCs w:val="28"/>
        </w:rPr>
      </w:pPr>
      <w:r>
        <w:rPr>
          <w:rFonts w:eastAsia="Times New Roman" w:cs="Times New Roman" w:ascii="Times New Roman" w:hAnsi="Times New Roman"/>
          <w:sz w:val="28"/>
          <w:szCs w:val="28"/>
        </w:rPr>
        <w:t xml:space="preserve">Голова постійної комісії міської ради з питань </w:t>
      </w:r>
    </w:p>
    <w:p>
      <w:pPr>
        <w:pStyle w:val="Normal"/>
        <w:spacing w:lineRule="auto" w:line="240" w:before="0" w:after="0"/>
        <w:rPr>
          <w:sz w:val="28"/>
          <w:szCs w:val="28"/>
        </w:rPr>
      </w:pPr>
      <w:r>
        <w:rPr>
          <w:rFonts w:eastAsia="Times New Roman" w:cs="Times New Roman" w:ascii="Times New Roman" w:hAnsi="Times New Roman"/>
          <w:sz w:val="28"/>
          <w:szCs w:val="28"/>
        </w:rPr>
        <w:t xml:space="preserve">регулювання земельних відносин, </w:t>
      </w:r>
    </w:p>
    <w:p>
      <w:pPr>
        <w:pStyle w:val="Normal"/>
        <w:spacing w:lineRule="auto" w:line="240" w:before="0" w:after="0"/>
        <w:rPr>
          <w:sz w:val="28"/>
          <w:szCs w:val="28"/>
        </w:rPr>
      </w:pPr>
      <w:r>
        <w:rPr>
          <w:rFonts w:eastAsia="Times New Roman" w:cs="Times New Roman" w:ascii="Times New Roman" w:hAnsi="Times New Roman"/>
          <w:sz w:val="28"/>
          <w:szCs w:val="28"/>
        </w:rPr>
        <w:t xml:space="preserve">архітектури, будівництва та охорони </w:t>
      </w:r>
    </w:p>
    <w:p>
      <w:pPr>
        <w:pStyle w:val="Normal"/>
        <w:spacing w:lineRule="auto" w:line="240" w:before="0" w:after="0"/>
        <w:rPr>
          <w:sz w:val="28"/>
          <w:szCs w:val="28"/>
        </w:rPr>
      </w:pPr>
      <w:r>
        <w:rPr>
          <w:rFonts w:eastAsia="Times New Roman" w:cs="Times New Roman" w:ascii="Times New Roman" w:hAnsi="Times New Roman"/>
          <w:sz w:val="28"/>
          <w:szCs w:val="28"/>
        </w:rPr>
        <w:t>навколишнього середовища                                                        Вячеслав ГЛОТКО</w:t>
        <w:b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b/>
          <w:sz w:val="28"/>
          <w:szCs w:val="28"/>
        </w:rPr>
        <w:t>ПОЯСНЮВАЛЬНА ЗАПИСКА</w:t>
      </w:r>
    </w:p>
    <w:p>
      <w:pPr>
        <w:pStyle w:val="Normal"/>
        <w:spacing w:before="0" w:after="0"/>
        <w:ind w:left="142" w:hanging="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до проекту рішення Ніжинської міської ради</w:t>
      </w:r>
    </w:p>
    <w:p>
      <w:pPr>
        <w:pStyle w:val="Normal"/>
        <w:spacing w:before="0" w:after="0"/>
        <w:ind w:left="142" w:hanging="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«Про затвердження Договору про співпрацю та встановлення пам’ятного знаку за ініціативи мецената Олександра Хонди»</w:t>
      </w:r>
    </w:p>
    <w:p>
      <w:pPr>
        <w:pStyle w:val="Normal"/>
        <w:spacing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2540 від 08.08.2025  року</w:t>
      </w:r>
    </w:p>
    <w:p>
      <w:pPr>
        <w:pStyle w:val="Normal"/>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2"/>
        </w:numPr>
        <w:spacing w:before="0" w:after="0"/>
        <w:rPr/>
      </w:pPr>
      <w:r>
        <w:rPr>
          <w:rFonts w:eastAsia="Times New Roman" w:cs="Times New Roman" w:ascii="Times New Roman" w:hAnsi="Times New Roman"/>
          <w:color w:val="000000"/>
          <w:sz w:val="28"/>
          <w:szCs w:val="28"/>
        </w:rPr>
        <w:t>Проєкт рішення передбачає затвердження договору про співпрацю між Ніжинською міською радою, Управлінням житлово-комунального господарства та будівництва, меценатом Олександром Валерійовичем Хондою та Нагорним Олегом Віталійовичем.</w:t>
      </w:r>
    </w:p>
    <w:p>
      <w:pPr>
        <w:pStyle w:val="Normal"/>
        <w:numPr>
          <w:ilvl w:val="0"/>
          <w:numId w:val="2"/>
        </w:numPr>
        <w:spacing w:before="0" w:after="0"/>
        <w:rPr/>
      </w:pPr>
      <w:r>
        <w:rPr>
          <w:rFonts w:eastAsia="Times New Roman" w:cs="Times New Roman" w:ascii="Times New Roman" w:hAnsi="Times New Roman"/>
          <w:color w:val="000000"/>
          <w:sz w:val="28"/>
          <w:szCs w:val="28"/>
        </w:rPr>
        <w:t>У межах договору меценат бере на себе ініціативу щодо здійснення благоустрою частини пішохідної зони, встановлення пам’ятного знаку на честь відомого нейрохірурга Олексія Миколайовича Хонди. Сторони договору також погоджують виконання окремих частин робіт, у тому числі закупівлю та встановлення урн і ліхтарів коштом міського бюджету.</w:t>
      </w:r>
    </w:p>
    <w:p>
      <w:pPr>
        <w:pStyle w:val="Normal"/>
        <w:numPr>
          <w:ilvl w:val="0"/>
          <w:numId w:val="2"/>
        </w:numPr>
        <w:spacing w:before="0" w:after="0"/>
        <w:rPr/>
      </w:pPr>
      <w:r>
        <w:rPr>
          <w:rFonts w:eastAsia="Times New Roman" w:cs="Times New Roman" w:ascii="Times New Roman" w:hAnsi="Times New Roman"/>
          <w:color w:val="000000"/>
          <w:sz w:val="28"/>
          <w:szCs w:val="28"/>
        </w:rPr>
        <w:t>Додатком до проєкту рішення є візуалізація благоустрою як стилістичне орієнтування, а також ескіз пам’ятного знаку та біографічна довідка про О.М. Хонду, в пам’ять про якого меценат готовий виконати роботи з благоустрою.</w:t>
      </w:r>
    </w:p>
    <w:p>
      <w:pPr>
        <w:pStyle w:val="Normal"/>
        <w:numPr>
          <w:ilvl w:val="0"/>
          <w:numId w:val="2"/>
        </w:numPr>
        <w:spacing w:before="0" w:after="0"/>
        <w:rPr/>
      </w:pPr>
      <w:r>
        <w:rPr>
          <w:rFonts w:eastAsia="Times New Roman" w:cs="Times New Roman" w:ascii="Times New Roman" w:hAnsi="Times New Roman"/>
          <w:color w:val="000000"/>
          <w:sz w:val="28"/>
          <w:szCs w:val="28"/>
        </w:rPr>
        <w:t>Рішення підготовлене відповідно до статей 25, 26, 42, 59, 73 Закону України «Про місцеве самоврядування в Україні», Регламенту Ніжинської міської ради, затвердженого рішенням №3-2/2020 від 27.11.2020 (зі змінами).</w:t>
      </w:r>
    </w:p>
    <w:p>
      <w:pPr>
        <w:pStyle w:val="Normal"/>
        <w:numPr>
          <w:ilvl w:val="0"/>
          <w:numId w:val="2"/>
        </w:numPr>
        <w:spacing w:before="0" w:after="0"/>
        <w:rPr/>
      </w:pPr>
      <w:r>
        <w:rPr>
          <w:rFonts w:eastAsia="Times New Roman" w:cs="Times New Roman" w:ascii="Times New Roman" w:hAnsi="Times New Roman"/>
          <w:color w:val="000000"/>
          <w:sz w:val="28"/>
          <w:szCs w:val="28"/>
        </w:rPr>
        <w:t>Прийняття цього рішення сприятиме:</w:t>
        <w:br/>
        <w:t>– розвитку партнерської співпраці між громадою, меценатами та бізнесом;</w:t>
        <w:br/>
        <w:t>– покращенню громадського простору та благоустрою центральної частини міста;</w:t>
        <w:br/>
        <w:t>– увічненню пам’яті видатного ніжинця - науковця та лікаря;</w:t>
        <w:br/>
        <w:t>– залученню позабюджетних ресурсів до реалізації ініціатив соціального значення.</w:t>
      </w:r>
    </w:p>
    <w:p>
      <w:pPr>
        <w:pStyle w:val="Normal"/>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40" w:before="0" w:after="0"/>
        <w:rPr/>
      </w:pPr>
      <w:r>
        <w:rPr>
          <w:rFonts w:eastAsia="Times New Roman" w:cs="Times New Roman" w:ascii="Times New Roman" w:hAnsi="Times New Roman"/>
          <w:color w:val="000000"/>
          <w:sz w:val="28"/>
          <w:szCs w:val="28"/>
        </w:rPr>
        <w:t xml:space="preserve">Т.в.о начальника відділу містобудування </w:t>
      </w:r>
    </w:p>
    <w:p>
      <w:pPr>
        <w:pStyle w:val="Normal"/>
        <w:spacing w:lineRule="auto" w:line="240" w:before="0" w:after="0"/>
        <w:rPr/>
      </w:pPr>
      <w:r>
        <w:rPr>
          <w:rFonts w:eastAsia="Times New Roman" w:cs="Times New Roman" w:ascii="Times New Roman" w:hAnsi="Times New Roman"/>
          <w:color w:val="000000"/>
          <w:sz w:val="28"/>
          <w:szCs w:val="28"/>
        </w:rPr>
        <w:t>та архітектури — головного архітектора</w:t>
      </w:r>
    </w:p>
    <w:p>
      <w:pPr>
        <w:pStyle w:val="Normal"/>
        <w:spacing w:lineRule="auto" w:line="240" w:before="0" w:after="0"/>
        <w:rPr/>
      </w:pPr>
      <w:r>
        <w:rPr>
          <w:rFonts w:eastAsia="Times New Roman" w:cs="Times New Roman" w:ascii="Times New Roman" w:hAnsi="Times New Roman"/>
          <w:color w:val="000000"/>
          <w:sz w:val="28"/>
          <w:szCs w:val="28"/>
        </w:rPr>
        <w:t>виконавчого комітету Ніжинської міської ради                           Алла ПОПИК</w:t>
      </w:r>
    </w:p>
    <w:p>
      <w:pPr>
        <w:pStyle w:val="Normal"/>
        <w:spacing w:lineRule="auto" w:line="240" w:before="0" w:after="0"/>
        <w:rPr/>
      </w:pPr>
      <w:r>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center"/>
        <w:rPr>
          <w:rFonts w:ascii="Times New Roman" w:hAnsi="Times New Roman" w:cs="Times New Roman"/>
          <w:color w:val="000000"/>
          <w:sz w:val="28"/>
          <w:szCs w:val="28"/>
        </w:rPr>
      </w:pPr>
      <w:r>
        <w:rPr>
          <w:rFonts w:cs="Times New Roman" w:ascii="Times New Roman" w:hAnsi="Times New Roman"/>
          <w:b/>
          <w:color w:val="000000"/>
          <w:sz w:val="28"/>
          <w:szCs w:val="28"/>
        </w:rPr>
        <w:t>ДОГОВІР ПРО СПІВРОБІТНИЦТВО</w:t>
      </w:r>
    </w:p>
    <w:p>
      <w:pPr>
        <w:pStyle w:val="Normal"/>
        <w:spacing w:lineRule="auto" w:line="24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м. Ніжин                                                                      «__» ____________ 2025 р.</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Ніжинська міська рада (код ЄДРПОУ </w:t>
      </w:r>
      <w:r>
        <w:rPr>
          <w:rFonts w:cs="Times New Roman" w:ascii="Times New Roman" w:hAnsi="Times New Roman"/>
          <w:color w:val="000000"/>
          <w:sz w:val="28"/>
          <w:szCs w:val="28"/>
        </w:rPr>
        <w:t>34644701</w:t>
      </w:r>
      <w:r>
        <w:rPr>
          <w:rFonts w:cs="Times New Roman" w:ascii="Times New Roman" w:hAnsi="Times New Roman"/>
          <w:color w:val="333333"/>
          <w:sz w:val="28"/>
          <w:szCs w:val="28"/>
        </w:rPr>
        <w:t>, місцезнаходження місто Ніжин, площа імені Івана Франка 1), яка представляє інтереси Ніжинської міської територіальної громади, в особі міського голови міста Ніжина Олександра Кодоли, що діє на підставі Закону України «Про місцеве самоврядування в Україні» (далі – Партнер 1)</w:t>
      </w:r>
      <w:r>
        <w:rPr>
          <w:rFonts w:cs="Times New Roman" w:ascii="Times New Roman" w:hAnsi="Times New Roman"/>
          <w:color w:val="000000"/>
          <w:sz w:val="28"/>
          <w:szCs w:val="28"/>
        </w:rPr>
        <w:t xml:space="preserve">, Хонда Олександр Валерійович (меценат, громадянин України, </w:t>
      </w:r>
      <w:r>
        <w:rPr>
          <w:rFonts w:cs="Times New Roman" w:ascii="Times New Roman" w:hAnsi="Times New Roman"/>
          <w:color w:val="333333"/>
          <w:sz w:val="28"/>
          <w:szCs w:val="28"/>
        </w:rPr>
        <w:t>далі – Партнер 2)</w:t>
      </w:r>
      <w:r>
        <w:rPr>
          <w:rFonts w:cs="Times New Roman" w:ascii="Times New Roman" w:hAnsi="Times New Roman"/>
          <w:color w:val="000000"/>
          <w:sz w:val="28"/>
          <w:szCs w:val="28"/>
        </w:rPr>
        <w:t xml:space="preserve">, Управління житлово-комунального господарства та будівництва Ніжинської міської ради (код ЄДРПОУ 32009931 </w:t>
      </w:r>
      <w:r>
        <w:rPr>
          <w:rFonts w:cs="Times New Roman" w:ascii="Times New Roman" w:hAnsi="Times New Roman"/>
          <w:color w:val="333333"/>
          <w:sz w:val="28"/>
          <w:szCs w:val="28"/>
        </w:rPr>
        <w:t>в особі в.о. начальника управління Сіренко Світлани Анатоліївни   (далі – Партнер 3)</w:t>
      </w:r>
      <w:r>
        <w:rPr>
          <w:rFonts w:cs="Times New Roman" w:ascii="Times New Roman" w:hAnsi="Times New Roman"/>
          <w:color w:val="000000"/>
          <w:sz w:val="28"/>
          <w:szCs w:val="28"/>
        </w:rPr>
        <w:t xml:space="preserve">    та</w:t>
      </w:r>
      <w:r>
        <w:rPr>
          <w:rFonts w:cs="Times New Roman" w:ascii="Times New Roman" w:hAnsi="Times New Roman"/>
          <w:color w:val="FF0000"/>
          <w:sz w:val="28"/>
          <w:szCs w:val="28"/>
        </w:rPr>
        <w:t xml:space="preserve">    </w:t>
      </w:r>
      <w:r>
        <w:rPr>
          <w:rFonts w:cs="Times New Roman" w:ascii="Times New Roman" w:hAnsi="Times New Roman"/>
          <w:color w:val="000000"/>
          <w:sz w:val="28"/>
          <w:szCs w:val="28"/>
        </w:rPr>
        <w:t xml:space="preserve">Нагорний   Олег   Віталійович  </w:t>
      </w:r>
      <w:r>
        <w:rPr>
          <w:rFonts w:cs="Times New Roman" w:ascii="Times New Roman" w:hAnsi="Times New Roman"/>
          <w:color w:val="333333"/>
          <w:sz w:val="28"/>
          <w:szCs w:val="28"/>
        </w:rPr>
        <w:t>(благодійник,  громадянин України,  далі –  Партнер 4).</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color w:val="333333"/>
          <w:sz w:val="28"/>
          <w:szCs w:val="28"/>
        </w:rPr>
        <w:t>1. Основні засади</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1.1. Цей Договір спрямований на розвиток соціального партнерства </w:t>
        <w:br/>
        <w:t>і вирішення соціально-економічних проблем, вибудовування ефективного діалогу між соціально відповідальними громадянами і місцевими органами місцевого самоврядування.</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1.2. Сторони уклали Договір для об’єднання зусиль для поліпшення життя та розвитку Ніжинської міської територіальної громади з метою підвищення якості життя мешканців шляхом успішного соціального, економічного та культурного розвитку Ніжинської міської територіальної громади.</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1.3. Сторони Договору будують свої відносини на положеннях Конституції України, Закону України «Про місцеве самоврядування в Україні»,  Цивільного кодексу України та інших нормативно-правових актів.</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1.4. При складанні та виконанні Договору Сторони зобов’язуються дотримуватися таких принципів:</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1.4.1. свобода вибору та обговорення питань, які входять до сфери соціального партнерства;</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1.4.2. добровільність і реальність зобов’язань, що приймаються Сторонами;</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1.4.3. обов’язковість виконання досягнутих домовленостей;</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1.4.5. прозорості та публічності виконання досягнутих домовленостей.</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b/>
          <w:color w:val="000000"/>
          <w:sz w:val="28"/>
          <w:szCs w:val="28"/>
        </w:rPr>
        <w:t>2. Предмет договору</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2.1. Цей договір укладається з метою спільної реалізації ініціативи з благоустрою пішохідної зони біля житлового будинку № 11 по вул. Шевченка (далі — територія), відповідно до візуалізації (Додаток 1) до  Договору, яка є орієнтовною та не є єдиним зразком оформлення, а лише стилістичним маркером,    але   усі    зміни   можливі   після   попереднього    погодження   з Партнером 1.</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rPr>
        <w:tab/>
        <w:t>2.2. Згідно з домовленостями, Партнер 2 бере на себе зобов’язання щодо фінансування та організації робіт з облаштування території, а також встановлення пам’ятного знаку на честь видатного нейрохірурга Хонди Олексія Миколайовича. Біографічна довідка та ескіз пам’ятного знаку наведені в Додатку 2  до  Договору.</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2.3. Партнер 4 зобов’язується взяти участь у спільному благоустрої території в межах, визначених у Додатку 3 до Договору, але усі зміни можливі після попереднього погодження з Партнером 1.</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 xml:space="preserve">2.4. Партнер 1 бере на себе зобов’язання щодо </w:t>
      </w:r>
      <w:r>
        <w:rPr>
          <w:rFonts w:cs="Times New Roman" w:ascii="Times New Roman" w:hAnsi="Times New Roman"/>
          <w:b/>
          <w:color w:val="000000"/>
          <w:sz w:val="28"/>
          <w:szCs w:val="28"/>
        </w:rPr>
        <w:t>з</w:t>
      </w:r>
      <w:r>
        <w:rPr>
          <w:rFonts w:cs="Times New Roman" w:ascii="Times New Roman" w:hAnsi="Times New Roman"/>
          <w:color w:val="000000"/>
          <w:sz w:val="28"/>
          <w:szCs w:val="28"/>
        </w:rPr>
        <w:t>акупівлі та встановлення урн і ліхтарів на зазначеній території в п.1.1. цього Договору.</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numPr>
          <w:ilvl w:val="0"/>
          <w:numId w:val="3"/>
        </w:numPr>
        <w:spacing w:lineRule="auto" w:line="240" w:before="0" w:after="0"/>
        <w:ind w:left="0" w:hanging="432"/>
        <w:jc w:val="both"/>
        <w:rPr>
          <w:rFonts w:ascii="Times New Roman" w:hAnsi="Times New Roman" w:cs="Times New Roman"/>
          <w:color w:val="000000"/>
          <w:sz w:val="28"/>
          <w:szCs w:val="28"/>
        </w:rPr>
      </w:pPr>
      <w:r>
        <w:rPr>
          <w:rFonts w:cs="Times New Roman" w:ascii="Times New Roman" w:hAnsi="Times New Roman"/>
          <w:b/>
          <w:color w:val="000000"/>
          <w:sz w:val="28"/>
          <w:szCs w:val="28"/>
        </w:rPr>
        <w:t>3. Сума договору та порядок фінансування</w:t>
      </w:r>
    </w:p>
    <w:p>
      <w:pPr>
        <w:pStyle w:val="Normal"/>
        <w:numPr>
          <w:ilvl w:val="0"/>
          <w:numId w:val="3"/>
        </w:numPr>
        <w:spacing w:lineRule="auto" w:line="240" w:before="0" w:after="0"/>
        <w:ind w:left="0" w:hanging="43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3.1. Договір носить соціально-партнерський характер, тому фінансування робіт та закупівель здійснюється кожною зі Сторін у межах їхньої відповідальності, визначеної цим Договором та відповідними додатками.</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3.2. Загальна вартість зобов’язань за Договором не визначається фіксованою сумою на момент підписання, оскільки реалізація ініціативи базується на доброчинній участі мецената та залученні ресурсів партнерів.</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3.3. Конкретний обсяг робіт, матеріалів та їхня вартість узгоджуються шляхом складання окремих технічних завдань, кошторисів або актів виконаних робіт, які можуть додаватися до Договору як невід’ємні додатки.</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3.4. Усі витрати сторони здійснюють у межах власного бюджету, господарської діяльності або на умовах добровільної участі.</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color w:val="333333"/>
          <w:sz w:val="28"/>
          <w:szCs w:val="28"/>
        </w:rPr>
        <w:t>4. Взаємні права і обов’язки Сторін</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i/>
          <w:color w:val="333333"/>
          <w:sz w:val="28"/>
          <w:szCs w:val="28"/>
        </w:rPr>
        <w:t>4.1. Партнер 1:</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color w:val="333333"/>
          <w:sz w:val="28"/>
          <w:szCs w:val="28"/>
        </w:rPr>
        <w:t>4.1.1. У межах своєї компетенції забезпечує необхідні організаційні, правові та інформаційні умови для реалізації ініціативи Партнера 2 та Партнера 4 щодо благоустрою попередньо визначеної території та встановлення пам’ятного знаку.</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color w:val="333333"/>
          <w:sz w:val="28"/>
          <w:szCs w:val="28"/>
        </w:rPr>
        <w:t xml:space="preserve">4.1.2. Протягом дії Договору визначає і пропонує Партнеру 2 </w:t>
        <w:br/>
        <w:t xml:space="preserve">на взаємовигідних умовах заходи щодо використання його можливостей </w:t>
        <w:br/>
        <w:t>на користь розвитку територіальної громади.</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color w:val="333333"/>
          <w:sz w:val="28"/>
          <w:szCs w:val="28"/>
        </w:rPr>
        <w:t>4.1.3. Створює Партнеру 2 елементи позитивного іміджу соціально відповідального підприємства у свідомості мешканців Ніжинської міської територіальної громади.</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color w:val="333333"/>
          <w:sz w:val="28"/>
          <w:szCs w:val="28"/>
        </w:rPr>
        <w:t>4.1.4. В межах чинного законодавства України та відповідно до бюджетних можливостей, забезпечити фінансування Партнеру 3 для здійснення закупівель та робіт зі встановлення вуличних урн і ліхтарів на зазначеній території.</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color w:val="333333"/>
          <w:sz w:val="28"/>
          <w:szCs w:val="28"/>
        </w:rPr>
        <w:t>4.1.5. У разі потреби, ініціювати залучення інших суб’єктів (комунальних установ, підприємств, громадських організацій) до реалізації елементів партнерської ініціативи.</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color w:val="333333"/>
          <w:sz w:val="28"/>
          <w:szCs w:val="28"/>
        </w:rPr>
        <w:t>4.1.6. Здійснювати контроль за дотриманням положень цього Договору всіма Сторонами.</w:t>
      </w:r>
    </w:p>
    <w:p>
      <w:pPr>
        <w:pStyle w:val="Normal"/>
        <w:spacing w:lineRule="auto" w:line="240" w:before="0" w:after="0"/>
        <w:ind w:firstLine="567"/>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i/>
          <w:color w:val="333333"/>
          <w:sz w:val="28"/>
          <w:szCs w:val="28"/>
        </w:rPr>
        <w:t>4.2. Партнер 2:</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4.2.1. Ініціювати, організовувати та фінансувати реалізацію заходів із благоустрою визначеної території у місті Ніжин, у тому числі встановлення пам’ятного знаку </w:t>
      </w:r>
      <w:r>
        <w:rPr>
          <w:rFonts w:cs="Times New Roman" w:ascii="Times New Roman" w:hAnsi="Times New Roman"/>
          <w:color w:val="000000"/>
          <w:sz w:val="28"/>
          <w:szCs w:val="28"/>
        </w:rPr>
        <w:t xml:space="preserve">на честь видатного нейрохірурга </w:t>
      </w:r>
      <w:r>
        <w:rPr>
          <w:rFonts w:cs="Times New Roman" w:ascii="Times New Roman" w:hAnsi="Times New Roman"/>
          <w:color w:val="333333"/>
          <w:sz w:val="28"/>
          <w:szCs w:val="28"/>
        </w:rPr>
        <w:t>Хонди Олексія Миколайовича, відповідно до ескізу та погодженої документації.</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4.2.2. Забезпечити здійснення робіт та встановлення об’єктів у межах, передбачених цим Договором та чинним законодавством України, з дотриманням правил безпеки, містобудівних норм та стандартів благоустрою. Після закупівлі та встановлення елементів благоустрою здійснити передачу матеріально технічних цінностей на баланс Партнера 1 за Актом приймання-передачі.</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4.2.3. Вжити заходів щодо залучення підрядних організацій або власними силами забезпечити якісне виконання благоустрою, озеленення, встановлення малих архітектурних форм, лавок тощо, як передбачено у Додатку до Договору.</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4.2.4. Забезпечити цільове використання території та не допускати її використання в спосіб, що суперечить меті проєкту, публічному призначенню простору або чинному законодавству.</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4.2.5. Дотримуватися вимог чинного природоохоронного, земельного, містобудівного та культурного законодавства України у процесі реалізації своєї ініціативи.</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4.2.6. Інформувати Партнерів про хід виконання зобов’язань та за потреби – погоджувати зміни до візуального або технічного оформлення об’єктів.</w:t>
      </w:r>
    </w:p>
    <w:p>
      <w:pPr>
        <w:pStyle w:val="Normal"/>
        <w:spacing w:lineRule="auto" w:line="240" w:before="0" w:after="0"/>
        <w:ind w:firstLine="567"/>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rPr>
          <w:rFonts w:ascii="Times New Roman" w:hAnsi="Times New Roman" w:cs="Times New Roman"/>
          <w:color w:val="000000"/>
          <w:sz w:val="28"/>
          <w:szCs w:val="28"/>
        </w:rPr>
      </w:pPr>
      <w:r>
        <w:rPr>
          <w:rFonts w:cs="Times New Roman" w:ascii="Times New Roman" w:hAnsi="Times New Roman"/>
          <w:b/>
          <w:i/>
          <w:color w:val="000000"/>
          <w:sz w:val="28"/>
          <w:szCs w:val="28"/>
        </w:rPr>
        <w:t>4.3. Партнер 3:</w:t>
      </w:r>
    </w:p>
    <w:p>
      <w:pPr>
        <w:pStyle w:val="Normal"/>
        <w:spacing w:lineRule="auto" w:line="240" w:before="0" w:after="0"/>
        <w:ind w:firstLine="567"/>
        <w:rPr>
          <w:rFonts w:ascii="Times New Roman" w:hAnsi="Times New Roman" w:cs="Times New Roman"/>
          <w:color w:val="000000"/>
          <w:sz w:val="28"/>
          <w:szCs w:val="28"/>
        </w:rPr>
      </w:pPr>
      <w:r>
        <w:rPr>
          <w:rFonts w:cs="Times New Roman" w:ascii="Times New Roman" w:hAnsi="Times New Roman"/>
          <w:color w:val="000000"/>
          <w:sz w:val="28"/>
          <w:szCs w:val="28"/>
        </w:rPr>
        <w:t>4.3.1.</w:t>
      </w:r>
      <w:r>
        <w:rPr>
          <w:rFonts w:cs="Times New Roman" w:ascii="Times New Roman" w:hAnsi="Times New Roman"/>
          <w:b/>
          <w:i/>
          <w:color w:val="000000"/>
          <w:sz w:val="28"/>
          <w:szCs w:val="28"/>
        </w:rPr>
        <w:t xml:space="preserve"> </w:t>
      </w:r>
      <w:r>
        <w:rPr>
          <w:rFonts w:cs="Times New Roman" w:ascii="Times New Roman" w:hAnsi="Times New Roman"/>
          <w:color w:val="000000"/>
          <w:sz w:val="28"/>
          <w:szCs w:val="28"/>
        </w:rPr>
        <w:t>Погодити та контролювати технічні аспекти виконання робіт;</w:t>
      </w:r>
    </w:p>
    <w:p>
      <w:pPr>
        <w:pStyle w:val="Normal"/>
        <w:spacing w:lineRule="auto" w:line="240" w:before="0" w:after="0"/>
        <w:ind w:firstLine="567"/>
        <w:rPr>
          <w:rFonts w:ascii="Times New Roman" w:hAnsi="Times New Roman" w:cs="Times New Roman"/>
          <w:color w:val="000000"/>
          <w:sz w:val="28"/>
          <w:szCs w:val="28"/>
        </w:rPr>
      </w:pPr>
      <w:r>
        <w:rPr>
          <w:rFonts w:cs="Times New Roman" w:ascii="Times New Roman" w:hAnsi="Times New Roman"/>
          <w:color w:val="000000"/>
          <w:sz w:val="28"/>
          <w:szCs w:val="28"/>
        </w:rPr>
        <w:t>4.3.2. Здійснити технічний супровід погоджених елементів благоустрою.</w:t>
      </w:r>
    </w:p>
    <w:p>
      <w:pPr>
        <w:pStyle w:val="Normal"/>
        <w:spacing w:lineRule="auto" w:line="240" w:before="0" w:after="0"/>
        <w:ind w:firstLine="567"/>
        <w:rPr>
          <w:rFonts w:ascii="Times New Roman" w:hAnsi="Times New Roman" w:cs="Times New Roman"/>
          <w:color w:val="333333"/>
          <w:sz w:val="28"/>
          <w:szCs w:val="28"/>
        </w:rPr>
      </w:pPr>
      <w:r>
        <w:rPr>
          <w:rFonts w:cs="Times New Roman" w:ascii="Times New Roman" w:hAnsi="Times New Roman"/>
          <w:color w:val="000000"/>
          <w:sz w:val="28"/>
          <w:szCs w:val="28"/>
        </w:rPr>
        <w:t xml:space="preserve">4.3.3. Здійснити </w:t>
      </w:r>
      <w:r>
        <w:rPr>
          <w:rFonts w:cs="Times New Roman" w:ascii="Times New Roman" w:hAnsi="Times New Roman"/>
          <w:color w:val="333333"/>
          <w:sz w:val="28"/>
          <w:szCs w:val="28"/>
        </w:rPr>
        <w:t>закупівлю та встановлення вуличних урн і ліхтарів на зазначеній території в п. 1.1.</w:t>
      </w:r>
    </w:p>
    <w:p>
      <w:pPr>
        <w:pStyle w:val="Normal"/>
        <w:spacing w:lineRule="auto" w:line="240" w:before="0" w:after="0"/>
        <w:ind w:firstLine="567"/>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b/>
          <w:color w:val="000000"/>
          <w:sz w:val="28"/>
          <w:szCs w:val="28"/>
        </w:rPr>
        <w:t>4.4. Партнер 4:</w:t>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333333"/>
          <w:sz w:val="28"/>
          <w:szCs w:val="28"/>
        </w:rPr>
        <w:t xml:space="preserve">4.4.1. Ініціювати, організовувати та фінансувати реалізацію заходів із благоустрою визначеної території у місті Ніжин, відповідно до ескізу, </w:t>
      </w:r>
      <w:r>
        <w:rPr>
          <w:rFonts w:cs="Times New Roman" w:ascii="Times New Roman" w:hAnsi="Times New Roman"/>
          <w:color w:val="000000"/>
          <w:sz w:val="28"/>
          <w:szCs w:val="28"/>
        </w:rPr>
        <w:t>опису в Додатку 3 до Договору</w:t>
      </w:r>
      <w:r>
        <w:rPr>
          <w:rFonts w:cs="Times New Roman" w:ascii="Times New Roman" w:hAnsi="Times New Roman"/>
          <w:color w:val="333333"/>
          <w:sz w:val="28"/>
          <w:szCs w:val="28"/>
        </w:rPr>
        <w:t xml:space="preserve"> та погодженої документації.</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4.4.2. Забезпечити здійснення робіт та встановлення об’єктів у межах, передбачених цим Договором та чинним законодавством України, з дотриманням правил безпеки, містобудівних норм та стандартів благоустрою. Після закупівлі та встановлення усіх елементів благоустрою здійснити передачу матеріально технічних цінностей на баланс Партнера 1 за Актом приймання-передачі.</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4.4.3. Вжити заходів щодо залучення підрядних організацій або власними силами забезпечити якісне виконання благоустрою, озеленення, встановлення малих архітектурних форм, лавок тощо, як передбачено у Додатку 3 до Договору.</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4.4.4. Забезпечити цільове використання території та не допускати її використання в спосіб, що суперечить меті проєкту, публічному призначенню простору або чинному законодавству.</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4.4.5. Дотримуватися вимог чинного природоохоронного, земельного, містобудівного та культурного законодавства України у процесі реалізації своєї ініціативи.</w:t>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333333"/>
          <w:sz w:val="28"/>
          <w:szCs w:val="28"/>
        </w:rPr>
        <w:t>4.4.6. Інформувати Партнерів про хід виконання зобов’язань та за потреби – погоджувати зміни до візуального або технічного оформлення</w:t>
      </w:r>
    </w:p>
    <w:p>
      <w:pPr>
        <w:pStyle w:val="Normal"/>
        <w:spacing w:lineRule="auto" w:line="240" w:before="0" w:after="0"/>
        <w:ind w:firstLine="567"/>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567"/>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color w:val="333333"/>
          <w:sz w:val="28"/>
          <w:szCs w:val="28"/>
        </w:rPr>
        <w:t>5. Відповідальність Сторін</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5.1 За невиконання умов Договору Сторони несуть відповідальність </w:t>
        <w:br/>
        <w:t>у відповідності з чинним законодавством України.</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5.2. У разі невиконання однією із Сторін положень цього Договору, інша залишає за собою право розірвання цього Договору в односторонньому порядку, шляхом направлення іншій Стороні письмового повідомлення.</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color w:val="333333"/>
          <w:sz w:val="28"/>
          <w:szCs w:val="28"/>
        </w:rPr>
        <w:t>6. Розірвання Договору</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6.1. Договір може бути розірваний в односторонньому порядку </w:t>
        <w:br/>
        <w:t>у наступних випадках:</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6.1.1. при невиконанні або неналежному виконанні зобов’язань;</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6.1.2. за бажанням однієї сторони. При цьому сторона-ініціатор зобов’язана письмово повідомити іншу сторону про розірвання Договору, але не менш ніж за 30 днів до передбачуваної дати розірвання Договору.</w:t>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color w:val="333333"/>
          <w:sz w:val="28"/>
          <w:szCs w:val="28"/>
        </w:rPr>
        <w:t>7. Розв’язання суперечок</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7.1. При виникненні розбіжностей під час виконання умов Договору Сторони вирішують їх за взаємною згодою.</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 xml:space="preserve">7.2. У разі недосягнення взаємної згоди, спори розглядаються </w:t>
        <w:br/>
        <w:t>у відповідності до чинного законодавства.</w:t>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color w:val="333333"/>
          <w:sz w:val="28"/>
          <w:szCs w:val="28"/>
        </w:rPr>
        <w:t>8. Термін дії Договору</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333333"/>
          <w:sz w:val="28"/>
          <w:szCs w:val="28"/>
        </w:rPr>
        <w:t xml:space="preserve">8.1. Цей Договір набирає чинності з моменту його підписання Сторонами </w:t>
        <w:br/>
        <w:t xml:space="preserve">та діє до «31» грудня 2025 року, </w:t>
      </w:r>
      <w:r>
        <w:rPr>
          <w:rFonts w:cs="Times New Roman" w:ascii="Times New Roman" w:hAnsi="Times New Roman"/>
          <w:color w:val="000000"/>
          <w:sz w:val="28"/>
          <w:szCs w:val="28"/>
        </w:rPr>
        <w:t>або до повного виконання Партнерами зобов’язань згідно умов цього Договору.</w:t>
      </w:r>
    </w:p>
    <w:p>
      <w:pPr>
        <w:pStyle w:val="Normal"/>
        <w:spacing w:lineRule="auto" w:line="240" w:before="0" w:after="0"/>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b/>
          <w:color w:val="333333"/>
          <w:sz w:val="28"/>
          <w:szCs w:val="28"/>
        </w:rPr>
        <w:t>9. Інші умови</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9.1. Усі зміни та доповнення до цього Договору вважаються дійсними, якщо вони здійсненні у письмовому вигляді та підписані повноважними представниками Сторін.</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9.2. У випадках, не передбачених цим Договором, сторони керуються чинним законодавством.</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9.3. Цей Договір укладений у чотирьох примірниках, що мають однакову юридичну силу, по одному для кожної із Сторін.</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t>9.4. Сторони, укладаючи Договір, створюють довірливі партнерські взаємовигідні відносини між бізнесом та Ніжинською міською територіальною громадою.</w:t>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333333"/>
          <w:sz w:val="28"/>
          <w:szCs w:val="28"/>
        </w:rPr>
      </w:pPr>
      <w:r>
        <w:rPr>
          <w:rFonts w:cs="Times New Roman" w:ascii="Times New Roman" w:hAnsi="Times New Roman"/>
          <w:color w:val="333333"/>
          <w:sz w:val="28"/>
          <w:szCs w:val="28"/>
        </w:rPr>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b/>
          <w:color w:val="333333"/>
          <w:sz w:val="28"/>
          <w:szCs w:val="28"/>
        </w:rPr>
        <w:t>10. Реквізити Сторін</w:t>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9146" w:type="dxa"/>
        <w:jc w:val="left"/>
        <w:tblInd w:w="-109" w:type="dxa"/>
        <w:tblLayout w:type="fixed"/>
        <w:tblCellMar>
          <w:top w:w="0" w:type="dxa"/>
          <w:left w:w="108" w:type="dxa"/>
          <w:bottom w:w="0" w:type="dxa"/>
          <w:right w:w="108" w:type="dxa"/>
        </w:tblCellMar>
        <w:tblLook w:firstRow="0" w:noVBand="0" w:lastRow="0" w:firstColumn="0" w:lastColumn="0" w:noHBand="0" w:val="0000"/>
      </w:tblPr>
      <w:tblGrid>
        <w:gridCol w:w="4077"/>
        <w:gridCol w:w="988"/>
        <w:gridCol w:w="4081"/>
      </w:tblGrid>
      <w:tr>
        <w:trPr/>
        <w:tc>
          <w:tcPr>
            <w:tcW w:w="4077" w:type="dxa"/>
            <w:tcBorders/>
            <w:vAlign w:val="center"/>
          </w:tcPr>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b/>
                <w:color w:val="000000"/>
                <w:sz w:val="28"/>
                <w:szCs w:val="28"/>
              </w:rPr>
              <w:t>Партнер 1</w:t>
            </w:r>
          </w:p>
        </w:tc>
        <w:tc>
          <w:tcPr>
            <w:tcW w:w="988" w:type="dxa"/>
            <w:tcBorders/>
            <w:vAlign w:val="center"/>
          </w:tcPr>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4081" w:type="dxa"/>
            <w:tcBorders/>
            <w:vAlign w:val="center"/>
          </w:tcPr>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b/>
                <w:color w:val="000000"/>
                <w:sz w:val="28"/>
                <w:szCs w:val="28"/>
              </w:rPr>
              <w:t>Партнер 2</w:t>
            </w:r>
          </w:p>
        </w:tc>
      </w:tr>
      <w:tr>
        <w:trPr/>
        <w:tc>
          <w:tcPr>
            <w:tcW w:w="4077" w:type="dxa"/>
            <w:tcBorders/>
            <w:vAlign w:val="center"/>
          </w:tcPr>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Ніжинська міська рада</w:t>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Код ЄДРПОУ: 34644701</w:t>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Міський голова міста Ніжин</w:t>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mc:AlternateContent>
                <mc:Choice Requires="wps">
                  <w:drawing>
                    <wp:anchor behindDoc="0" distT="0" distB="0" distL="0" distR="0" simplePos="0" locked="0" layoutInCell="1" allowOverlap="1" relativeHeight="3">
                      <wp:simplePos x="0" y="0"/>
                      <wp:positionH relativeFrom="column">
                        <wp:posOffset>-32385</wp:posOffset>
                      </wp:positionH>
                      <wp:positionV relativeFrom="paragraph">
                        <wp:posOffset>172085</wp:posOffset>
                      </wp:positionV>
                      <wp:extent cx="1689100" cy="16510"/>
                      <wp:effectExtent l="0" t="0" r="0" b="0"/>
                      <wp:wrapNone/>
                      <wp:docPr id="2" name="Зображення1"/>
                      <a:graphic xmlns:a="http://schemas.openxmlformats.org/drawingml/2006/main">
                        <a:graphicData uri="http://schemas.microsoft.com/office/word/2010/wordprocessingShape">
                          <wps:wsp>
                            <wps:cNvSpPr/>
                            <wps:spPr>
                              <a:xfrm>
                                <a:off x="0" y="0"/>
                                <a:ext cx="1688400" cy="151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55pt,13.55pt" to="130.35pt,14.7pt" ID="Зображення1" stroked="t" style="position:absolute">
                      <v:stroke color="black" joinstyle="round" endcap="flat"/>
                      <v:fill o:detectmouseclick="t" on="false"/>
                      <w10:wrap type="none"/>
                    </v:line>
                  </w:pict>
                </mc:Fallback>
              </mc:AlternateContent>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Олександр КОДОЛА</w:t>
            </w:r>
          </w:p>
        </w:tc>
        <w:tc>
          <w:tcPr>
            <w:tcW w:w="988" w:type="dxa"/>
            <w:tcBorders/>
            <w:vAlign w:val="center"/>
          </w:tcPr>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4081" w:type="dxa"/>
            <w:tcBorders/>
            <w:vAlign w:val="center"/>
          </w:tcPr>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Меценат</w:t>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mc:AlternateContent>
                <mc:Choice Requires="wps">
                  <w:drawing>
                    <wp:anchor behindDoc="0" distT="0" distB="0" distL="0" distR="0" simplePos="0" locked="0" layoutInCell="1" allowOverlap="1" relativeHeight="4">
                      <wp:simplePos x="0" y="0"/>
                      <wp:positionH relativeFrom="column">
                        <wp:posOffset>-17145</wp:posOffset>
                      </wp:positionH>
                      <wp:positionV relativeFrom="paragraph">
                        <wp:posOffset>150495</wp:posOffset>
                      </wp:positionV>
                      <wp:extent cx="1689100" cy="17145"/>
                      <wp:effectExtent l="0" t="0" r="0" b="0"/>
                      <wp:wrapNone/>
                      <wp:docPr id="3" name="Зображення2"/>
                      <a:graphic xmlns:a="http://schemas.openxmlformats.org/drawingml/2006/main">
                        <a:graphicData uri="http://schemas.microsoft.com/office/word/2010/wordprocessingShape">
                          <wps:wsp>
                            <wps:cNvSpPr/>
                            <wps:spPr>
                              <a:xfrm>
                                <a:off x="0" y="0"/>
                                <a:ext cx="1688400" cy="151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35pt,11.85pt" to="131.55pt,13pt" ID="Зображення2" stroked="t" style="position:absolute">
                      <v:stroke color="black" joinstyle="round" endcap="flat"/>
                      <v:fill o:detectmouseclick="t" on="false"/>
                      <w10:wrap type="none"/>
                    </v:line>
                  </w:pict>
                </mc:Fallback>
              </mc:AlternateContent>
            </w:r>
          </w:p>
          <w:p>
            <w:pPr>
              <w:pStyle w:val="Normal"/>
              <w:widowControl w:val="false"/>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Олександр ХОНДА</w:t>
            </w:r>
          </w:p>
        </w:tc>
      </w:tr>
    </w:tbl>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b/>
          <w:color w:val="000000"/>
          <w:sz w:val="28"/>
          <w:szCs w:val="28"/>
        </w:rPr>
        <w:t>Партнер 3                                                     Партнер 4</w:t>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Управління житлово-комунального           Благодійник </w:t>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господарства та будівництва </w:t>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Ніжинської міської ради</w:t>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Код ЄДРПОУ: </w:t>
      </w:r>
      <w:hyperlink r:id="rId3">
        <w:r>
          <w:rPr>
            <w:rFonts w:cs="Times New Roman" w:ascii="Times New Roman" w:hAnsi="Times New Roman"/>
            <w:color w:val="000000"/>
            <w:sz w:val="28"/>
            <w:szCs w:val="28"/>
          </w:rPr>
          <w:t>32009931</w:t>
        </w:r>
      </w:hyperlink>
    </w:p>
    <w:p>
      <w:pPr>
        <w:pStyle w:val="Normal"/>
        <w:spacing w:lineRule="auto" w:line="240" w:before="0" w:after="0"/>
        <w:ind w:left="142" w:hanging="142"/>
        <w:jc w:val="both"/>
        <w:rPr>
          <w:rFonts w:ascii="Times New Roman" w:hAnsi="Times New Roman" w:cs="Times New Roman"/>
          <w:color w:val="333333"/>
          <w:sz w:val="28"/>
          <w:szCs w:val="28"/>
        </w:rPr>
      </w:pPr>
      <w:hyperlink r:id="rId4">
        <w:r>
          <w:rPr>
            <w:rFonts w:cs="Times New Roman" w:ascii="Times New Roman" w:hAnsi="Times New Roman"/>
            <w:color w:val="333333"/>
            <w:sz w:val="28"/>
            <w:szCs w:val="28"/>
          </w:rPr>
          <w:t xml:space="preserve">В.о. начальника управління </w:t>
        </w:r>
      </w:hyperlink>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left="142" w:hanging="142"/>
        <w:jc w:val="both"/>
        <w:rPr>
          <w:rFonts w:ascii="Times New Roman" w:hAnsi="Times New Roman" w:cs="Times New Roman"/>
          <w:color w:val="000000"/>
          <w:sz w:val="28"/>
          <w:szCs w:val="28"/>
        </w:rPr>
      </w:pPr>
      <w:r>
        <w:rPr>
          <w:rFonts w:cs="Times New Roman" w:ascii="Times New Roman" w:hAnsi="Times New Roman"/>
          <w:color w:val="000000"/>
          <w:sz w:val="28"/>
          <w:szCs w:val="28"/>
        </w:rPr>
        <mc:AlternateContent>
          <mc:Choice Requires="wps">
            <w:drawing>
              <wp:anchor behindDoc="0" distT="0" distB="0" distL="0" distR="0" simplePos="0" locked="0" layoutInCell="0" allowOverlap="1" relativeHeight="5">
                <wp:simplePos x="0" y="0"/>
                <wp:positionH relativeFrom="column">
                  <wp:posOffset>3286125</wp:posOffset>
                </wp:positionH>
                <wp:positionV relativeFrom="paragraph">
                  <wp:posOffset>131445</wp:posOffset>
                </wp:positionV>
                <wp:extent cx="1689735" cy="16510"/>
                <wp:effectExtent l="0" t="0" r="0" b="0"/>
                <wp:wrapNone/>
                <wp:docPr id="4" name="Зображення3"/>
                <a:graphic xmlns:a="http://schemas.openxmlformats.org/drawingml/2006/main">
                  <a:graphicData uri="http://schemas.microsoft.com/office/word/2010/wordprocessingShape">
                    <wps:wsp>
                      <wps:cNvSpPr/>
                      <wps:spPr>
                        <a:xfrm>
                          <a:off x="0" y="0"/>
                          <a:ext cx="1689120" cy="1476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58.75pt,10.35pt" to="391.7pt,11.45pt" ID="Зображення3" stroked="t" style="position:absolute">
                <v:stroke color="black" joinstyle="round" endcap="flat"/>
                <v:fill o:detectmouseclick="t" on="false"/>
                <w10:wrap type="none"/>
              </v:line>
            </w:pict>
          </mc:Fallback>
        </mc:AlternateContent>
        <mc:AlternateContent>
          <mc:Choice Requires="wps">
            <w:drawing>
              <wp:anchor behindDoc="0" distT="0" distB="0" distL="0" distR="0" simplePos="0" locked="0" layoutInCell="0" allowOverlap="1" relativeHeight="6">
                <wp:simplePos x="0" y="0"/>
                <wp:positionH relativeFrom="column">
                  <wp:posOffset>-17145</wp:posOffset>
                </wp:positionH>
                <wp:positionV relativeFrom="paragraph">
                  <wp:posOffset>150495</wp:posOffset>
                </wp:positionV>
                <wp:extent cx="1689100" cy="17145"/>
                <wp:effectExtent l="0" t="0" r="0" b="0"/>
                <wp:wrapNone/>
                <wp:docPr id="5" name="Зображення4"/>
                <a:graphic xmlns:a="http://schemas.openxmlformats.org/drawingml/2006/main">
                  <a:graphicData uri="http://schemas.microsoft.com/office/word/2010/wordprocessingShape">
                    <wps:wsp>
                      <wps:cNvSpPr/>
                      <wps:spPr>
                        <a:xfrm>
                          <a:off x="0" y="0"/>
                          <a:ext cx="1688400" cy="151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35pt,11.85pt" to="131.55pt,13pt" ID="Зображення4" stroked="t" style="position:absolute">
                <v:stroke color="black" joinstyle="round" endcap="flat"/>
                <v:fill o:detectmouseclick="t" on="false"/>
                <w10:wrap type="none"/>
              </v:line>
            </w:pict>
          </mc:Fallback>
        </mc:AlternateContent>
      </w:r>
    </w:p>
    <w:p>
      <w:pPr>
        <w:pStyle w:val="Normal"/>
        <w:spacing w:lineRule="auto" w:line="240" w:before="0" w:after="0"/>
        <w:ind w:left="142" w:hanging="142"/>
        <w:jc w:val="both"/>
        <w:rPr>
          <w:rFonts w:ascii="Times New Roman" w:hAnsi="Times New Roman" w:cs="Times New Roman"/>
          <w:b/>
          <w:b/>
          <w:color w:val="000000"/>
          <w:sz w:val="28"/>
          <w:szCs w:val="28"/>
        </w:rPr>
      </w:pPr>
      <w:r>
        <w:rPr>
          <w:rFonts w:cs="Times New Roman" w:ascii="Times New Roman" w:hAnsi="Times New Roman"/>
          <w:color w:val="000000"/>
          <w:sz w:val="28"/>
          <w:szCs w:val="28"/>
        </w:rPr>
        <w:t>Світлана СІРЕНКО                                         Олег НАГОРНИЙ</w:t>
      </w:r>
      <w:r>
        <w:rPr>
          <w:rFonts w:cs="Times New Roman" w:ascii="Times New Roman" w:hAnsi="Times New Roman"/>
          <w:b/>
          <w:color w:val="000000"/>
          <w:sz w:val="28"/>
          <w:szCs w:val="28"/>
        </w:rPr>
        <w:t xml:space="preserve"> </w:t>
      </w:r>
    </w:p>
    <w:p>
      <w:pPr>
        <w:pStyle w:val="Normal"/>
        <w:spacing w:lineRule="auto" w:line="240" w:before="0" w:after="0"/>
        <w:ind w:left="142" w:hanging="142"/>
        <w:jc w:val="both"/>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Normal"/>
        <w:spacing w:lineRule="auto" w:line="240" w:before="0" w:after="0"/>
        <w:ind w:left="142" w:hanging="142"/>
        <w:jc w:val="both"/>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Normal"/>
        <w:spacing w:lineRule="auto" w:line="240" w:before="0" w:after="0"/>
        <w:jc w:val="both"/>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Normal"/>
        <w:spacing w:lineRule="auto" w:line="240" w:before="0" w:after="0"/>
        <w:jc w:val="both"/>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Normal"/>
        <w:spacing w:lineRule="auto" w:line="240" w:before="0" w:after="0"/>
        <w:jc w:val="both"/>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drawing>
          <wp:anchor behindDoc="0" distT="0" distB="0" distL="0" distR="0" simplePos="0" locked="0" layoutInCell="0" allowOverlap="1" relativeHeight="7">
            <wp:simplePos x="0" y="0"/>
            <wp:positionH relativeFrom="column">
              <wp:posOffset>276225</wp:posOffset>
            </wp:positionH>
            <wp:positionV relativeFrom="paragraph">
              <wp:posOffset>109220</wp:posOffset>
            </wp:positionV>
            <wp:extent cx="6120765" cy="8652510"/>
            <wp:effectExtent l="0" t="0" r="0" b="0"/>
            <wp:wrapSquare wrapText="largest"/>
            <wp:docPr id="6"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1" descr=""/>
                    <pic:cNvPicPr>
                      <a:picLocks noChangeAspect="1" noChangeArrowheads="1"/>
                    </pic:cNvPicPr>
                  </pic:nvPicPr>
                  <pic:blipFill>
                    <a:blip r:embed="rId5"/>
                    <a:stretch>
                      <a:fillRect/>
                    </a:stretch>
                  </pic:blipFill>
                  <pic:spPr bwMode="auto">
                    <a:xfrm>
                      <a:off x="0" y="0"/>
                      <a:ext cx="6120765" cy="8652510"/>
                    </a:xfrm>
                    <a:prstGeom prst="rect">
                      <a:avLst/>
                    </a:prstGeom>
                  </pic:spPr>
                </pic:pic>
              </a:graphicData>
            </a:graphic>
          </wp:anchor>
        </w:drawing>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drawing>
          <wp:anchor behindDoc="0" distT="0" distB="0" distL="0" distR="0" simplePos="0" locked="0" layoutInCell="0" allowOverlap="1" relativeHeight="8">
            <wp:simplePos x="0" y="0"/>
            <wp:positionH relativeFrom="column">
              <wp:posOffset>66675</wp:posOffset>
            </wp:positionH>
            <wp:positionV relativeFrom="paragraph">
              <wp:posOffset>61595</wp:posOffset>
            </wp:positionV>
            <wp:extent cx="6120765" cy="8652510"/>
            <wp:effectExtent l="0" t="0" r="0" b="0"/>
            <wp:wrapSquare wrapText="largest"/>
            <wp:docPr id="7"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2" descr=""/>
                    <pic:cNvPicPr>
                      <a:picLocks noChangeAspect="1" noChangeArrowheads="1"/>
                    </pic:cNvPicPr>
                  </pic:nvPicPr>
                  <pic:blipFill>
                    <a:blip r:embed="rId6"/>
                    <a:stretch>
                      <a:fillRect/>
                    </a:stretch>
                  </pic:blipFill>
                  <pic:spPr bwMode="auto">
                    <a:xfrm>
                      <a:off x="0" y="0"/>
                      <a:ext cx="6120765" cy="8652510"/>
                    </a:xfrm>
                    <a:prstGeom prst="rect">
                      <a:avLst/>
                    </a:prstGeom>
                  </pic:spPr>
                </pic:pic>
              </a:graphicData>
            </a:graphic>
          </wp:anchor>
        </w:drawing>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765" cy="8652510"/>
            <wp:effectExtent l="0" t="0" r="0" b="0"/>
            <wp:wrapSquare wrapText="largest"/>
            <wp:docPr id="8"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3" descr=""/>
                    <pic:cNvPicPr>
                      <a:picLocks noChangeAspect="1" noChangeArrowheads="1"/>
                    </pic:cNvPicPr>
                  </pic:nvPicPr>
                  <pic:blipFill>
                    <a:blip r:embed="rId7"/>
                    <a:stretch>
                      <a:fillRect/>
                    </a:stretch>
                  </pic:blipFill>
                  <pic:spPr bwMode="auto">
                    <a:xfrm>
                      <a:off x="0" y="0"/>
                      <a:ext cx="6120765" cy="8652510"/>
                    </a:xfrm>
                    <a:prstGeom prst="rect">
                      <a:avLst/>
                    </a:prstGeom>
                  </pic:spPr>
                </pic:pic>
              </a:graphicData>
            </a:graphic>
          </wp:anchor>
        </w:drawing>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765" cy="8652510"/>
            <wp:effectExtent l="0" t="0" r="0" b="0"/>
            <wp:wrapSquare wrapText="largest"/>
            <wp:docPr id="9" name="Зображенн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4" descr=""/>
                    <pic:cNvPicPr>
                      <a:picLocks noChangeAspect="1" noChangeArrowheads="1"/>
                    </pic:cNvPicPr>
                  </pic:nvPicPr>
                  <pic:blipFill>
                    <a:blip r:embed="rId8"/>
                    <a:stretch>
                      <a:fillRect/>
                    </a:stretch>
                  </pic:blipFill>
                  <pic:spPr bwMode="auto">
                    <a:xfrm>
                      <a:off x="0" y="0"/>
                      <a:ext cx="6120765" cy="8652510"/>
                    </a:xfrm>
                    <a:prstGeom prst="rect">
                      <a:avLst/>
                    </a:prstGeom>
                  </pic:spPr>
                </pic:pic>
              </a:graphicData>
            </a:graphic>
          </wp:anchor>
        </w:drawing>
      </w:r>
    </w:p>
    <w:sectPr>
      <w:type w:val="nextPage"/>
      <w:pgSz w:w="11906" w:h="16838"/>
      <w:pgMar w:left="1417" w:right="850" w:header="0" w:top="850" w:footer="0" w:bottom="680" w:gutter="0"/>
      <w:pgNumType w:start="1"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Georgia">
    <w:charset w:val="cc"/>
    <w:family w:val="roman"/>
    <w:pitch w:val="variable"/>
  </w:font>
  <w:font w:name="Liberation Mono">
    <w:altName w:val="Courier New"/>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960" w:hanging="360"/>
      </w:pPr>
    </w:lvl>
    <w:lvl w:ilvl="1">
      <w:start w:val="1"/>
      <w:numFmt w:val="lowerLetter"/>
      <w:lvlText w:val="%2."/>
      <w:lvlJc w:val="left"/>
      <w:pPr>
        <w:tabs>
          <w:tab w:val="num" w:pos="0"/>
        </w:tabs>
        <w:ind w:left="1680" w:hanging="360"/>
      </w:pPr>
    </w:lvl>
    <w:lvl w:ilvl="2">
      <w:start w:val="1"/>
      <w:numFmt w:val="lowerRoman"/>
      <w:lvlText w:val="%3."/>
      <w:lvlJc w:val="right"/>
      <w:pPr>
        <w:tabs>
          <w:tab w:val="num" w:pos="0"/>
        </w:tabs>
        <w:ind w:left="2400" w:hanging="180"/>
      </w:pPr>
    </w:lvl>
    <w:lvl w:ilvl="3">
      <w:start w:val="1"/>
      <w:numFmt w:val="decimal"/>
      <w:lvlText w:val="%4."/>
      <w:lvlJc w:val="left"/>
      <w:pPr>
        <w:tabs>
          <w:tab w:val="num" w:pos="0"/>
        </w:tabs>
        <w:ind w:left="3120" w:hanging="360"/>
      </w:pPr>
    </w:lvl>
    <w:lvl w:ilvl="4">
      <w:start w:val="1"/>
      <w:numFmt w:val="lowerLetter"/>
      <w:lvlText w:val="%5."/>
      <w:lvlJc w:val="left"/>
      <w:pPr>
        <w:tabs>
          <w:tab w:val="num" w:pos="0"/>
        </w:tabs>
        <w:ind w:left="3840" w:hanging="360"/>
      </w:pPr>
    </w:lvl>
    <w:lvl w:ilvl="5">
      <w:start w:val="1"/>
      <w:numFmt w:val="lowerRoman"/>
      <w:lvlText w:val="%6."/>
      <w:lvlJc w:val="right"/>
      <w:pPr>
        <w:tabs>
          <w:tab w:val="num" w:pos="0"/>
        </w:tabs>
        <w:ind w:left="4560" w:hanging="180"/>
      </w:pPr>
    </w:lvl>
    <w:lvl w:ilvl="6">
      <w:start w:val="1"/>
      <w:numFmt w:val="decimal"/>
      <w:lvlText w:val="%7."/>
      <w:lvlJc w:val="left"/>
      <w:pPr>
        <w:tabs>
          <w:tab w:val="num" w:pos="0"/>
        </w:tabs>
        <w:ind w:left="5280" w:hanging="360"/>
      </w:pPr>
    </w:lvl>
    <w:lvl w:ilvl="7">
      <w:start w:val="1"/>
      <w:numFmt w:val="lowerLetter"/>
      <w:lvlText w:val="%8."/>
      <w:lvlJc w:val="left"/>
      <w:pPr>
        <w:tabs>
          <w:tab w:val="num" w:pos="0"/>
        </w:tabs>
        <w:ind w:left="6000" w:hanging="360"/>
      </w:pPr>
    </w:lvl>
    <w:lvl w:ilvl="8">
      <w:start w:val="1"/>
      <w:numFmt w:val="lowerRoman"/>
      <w:lvlText w:val="%9."/>
      <w:lvlJc w:val="right"/>
      <w:pPr>
        <w:tabs>
          <w:tab w:val="num" w:pos="0"/>
        </w:tabs>
        <w:ind w:left="672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
      <w:lvlJc w:val="left"/>
      <w:pPr>
        <w:tabs>
          <w:tab w:val="num" w:pos="0"/>
        </w:tabs>
        <w:ind w:left="1140" w:hanging="432"/>
      </w:pPr>
      <w:rPr>
        <w:vertAlign w:val="baseline"/>
        <w:position w:val="0"/>
        <w:sz w:val="20"/>
        <w:sz w:val="20"/>
      </w:rPr>
    </w:lvl>
    <w:lvl w:ilvl="1">
      <w:start w:val="1"/>
      <w:numFmt w:val="decimal"/>
      <w:lvlText w:val=""/>
      <w:lvlJc w:val="left"/>
      <w:pPr>
        <w:tabs>
          <w:tab w:val="num" w:pos="0"/>
        </w:tabs>
        <w:ind w:left="1284" w:hanging="575"/>
      </w:pPr>
      <w:rPr>
        <w:vertAlign w:val="baseline"/>
        <w:position w:val="0"/>
        <w:sz w:val="20"/>
        <w:sz w:val="20"/>
      </w:rPr>
    </w:lvl>
    <w:lvl w:ilvl="2">
      <w:start w:val="1"/>
      <w:numFmt w:val="decimal"/>
      <w:lvlText w:val=""/>
      <w:lvlJc w:val="left"/>
      <w:pPr>
        <w:tabs>
          <w:tab w:val="num" w:pos="0"/>
        </w:tabs>
        <w:ind w:left="1428" w:hanging="719"/>
      </w:pPr>
      <w:rPr>
        <w:vertAlign w:val="baseline"/>
        <w:position w:val="0"/>
        <w:sz w:val="20"/>
        <w:sz w:val="20"/>
      </w:rPr>
    </w:lvl>
    <w:lvl w:ilvl="3">
      <w:start w:val="1"/>
      <w:numFmt w:val="decimal"/>
      <w:lvlText w:val=""/>
      <w:lvlJc w:val="left"/>
      <w:pPr>
        <w:tabs>
          <w:tab w:val="num" w:pos="0"/>
        </w:tabs>
        <w:ind w:left="1572" w:hanging="864"/>
      </w:pPr>
      <w:rPr>
        <w:vertAlign w:val="baseline"/>
        <w:position w:val="0"/>
        <w:sz w:val="20"/>
        <w:sz w:val="20"/>
      </w:rPr>
    </w:lvl>
    <w:lvl w:ilvl="4">
      <w:start w:val="1"/>
      <w:numFmt w:val="decimal"/>
      <w:lvlText w:val=""/>
      <w:lvlJc w:val="left"/>
      <w:pPr>
        <w:tabs>
          <w:tab w:val="num" w:pos="0"/>
        </w:tabs>
        <w:ind w:left="1716" w:hanging="1008"/>
      </w:pPr>
      <w:rPr>
        <w:vertAlign w:val="baseline"/>
        <w:position w:val="0"/>
        <w:sz w:val="20"/>
        <w:sz w:val="20"/>
      </w:rPr>
    </w:lvl>
    <w:lvl w:ilvl="5">
      <w:start w:val="1"/>
      <w:numFmt w:val="decimal"/>
      <w:lvlText w:val=""/>
      <w:lvlJc w:val="left"/>
      <w:pPr>
        <w:tabs>
          <w:tab w:val="num" w:pos="0"/>
        </w:tabs>
        <w:ind w:left="1860" w:hanging="1152"/>
      </w:pPr>
      <w:rPr>
        <w:vertAlign w:val="baseline"/>
        <w:position w:val="0"/>
        <w:sz w:val="20"/>
        <w:sz w:val="20"/>
      </w:rPr>
    </w:lvl>
    <w:lvl w:ilvl="6">
      <w:start w:val="1"/>
      <w:numFmt w:val="decimal"/>
      <w:lvlText w:val=""/>
      <w:lvlJc w:val="left"/>
      <w:pPr>
        <w:tabs>
          <w:tab w:val="num" w:pos="0"/>
        </w:tabs>
        <w:ind w:left="2004" w:hanging="1296"/>
      </w:pPr>
      <w:rPr>
        <w:vertAlign w:val="baseline"/>
        <w:position w:val="0"/>
        <w:sz w:val="20"/>
        <w:sz w:val="20"/>
      </w:rPr>
    </w:lvl>
    <w:lvl w:ilvl="7">
      <w:start w:val="1"/>
      <w:numFmt w:val="decimal"/>
      <w:lvlText w:val=""/>
      <w:lvlJc w:val="left"/>
      <w:pPr>
        <w:tabs>
          <w:tab w:val="num" w:pos="0"/>
        </w:tabs>
        <w:ind w:left="2148" w:hanging="1440"/>
      </w:pPr>
      <w:rPr>
        <w:vertAlign w:val="baseline"/>
        <w:position w:val="0"/>
        <w:sz w:val="20"/>
        <w:sz w:val="20"/>
      </w:rPr>
    </w:lvl>
    <w:lvl w:ilvl="8">
      <w:start w:val="1"/>
      <w:numFmt w:val="decimal"/>
      <w:lvlText w:val=""/>
      <w:lvlJc w:val="left"/>
      <w:pPr>
        <w:tabs>
          <w:tab w:val="num" w:pos="0"/>
        </w:tabs>
        <w:ind w:left="2292" w:hanging="1584"/>
      </w:pPr>
      <w:rPr>
        <w:vertAlign w:val="baseline"/>
        <w:position w:val="0"/>
        <w:sz w:val="20"/>
        <w:sz w:val="20"/>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uk-UA" w:eastAsia="uk-UA"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Calibri"/>
      <w:color w:val="auto"/>
      <w:kern w:val="0"/>
      <w:sz w:val="22"/>
      <w:szCs w:val="22"/>
      <w:lang w:val="uk-UA" w:eastAsia="uk-UA" w:bidi="ar-SA"/>
    </w:rPr>
  </w:style>
  <w:style w:type="paragraph" w:styleId="1">
    <w:name w:val="Heading 1"/>
    <w:basedOn w:val="Normal"/>
    <w:next w:val="Normal"/>
    <w:uiPriority w:val="9"/>
    <w:qFormat/>
    <w:pPr>
      <w:keepNext w:val="true"/>
      <w:keepLines/>
      <w:spacing w:before="480" w:after="120"/>
      <w:outlineLvl w:val="0"/>
    </w:pPr>
    <w:rPr>
      <w:b/>
      <w:sz w:val="48"/>
      <w:szCs w:val="48"/>
    </w:rPr>
  </w:style>
  <w:style w:type="paragraph" w:styleId="2">
    <w:name w:val="Heading 2"/>
    <w:basedOn w:val="Normal"/>
    <w:next w:val="Normal"/>
    <w:uiPriority w:val="9"/>
    <w:semiHidden/>
    <w:unhideWhenUsed/>
    <w:qFormat/>
    <w:pPr>
      <w:keepNext w:val="true"/>
      <w:keepLines/>
      <w:spacing w:before="360" w:after="80"/>
      <w:outlineLvl w:val="1"/>
    </w:pPr>
    <w:rPr>
      <w:b/>
      <w:sz w:val="36"/>
      <w:szCs w:val="36"/>
    </w:rPr>
  </w:style>
  <w:style w:type="paragraph" w:styleId="3">
    <w:name w:val="Heading 3"/>
    <w:basedOn w:val="Normal"/>
    <w:next w:val="Normal"/>
    <w:uiPriority w:val="9"/>
    <w:semiHidden/>
    <w:unhideWhenUsed/>
    <w:qFormat/>
    <w:pPr>
      <w:keepNext w:val="true"/>
      <w:keepLines/>
      <w:spacing w:before="280" w:after="80"/>
      <w:outlineLvl w:val="2"/>
    </w:pPr>
    <w:rPr>
      <w:b/>
      <w:sz w:val="28"/>
      <w:szCs w:val="28"/>
    </w:rPr>
  </w:style>
  <w:style w:type="paragraph" w:styleId="4">
    <w:name w:val="Heading 4"/>
    <w:basedOn w:val="Normal"/>
    <w:next w:val="Normal"/>
    <w:uiPriority w:val="9"/>
    <w:semiHidden/>
    <w:unhideWhenUsed/>
    <w:qFormat/>
    <w:pPr>
      <w:keepNext w:val="true"/>
      <w:keepLines/>
      <w:spacing w:before="240" w:after="40"/>
      <w:outlineLvl w:val="3"/>
    </w:pPr>
    <w:rPr>
      <w:b/>
      <w:sz w:val="24"/>
      <w:szCs w:val="24"/>
    </w:rPr>
  </w:style>
  <w:style w:type="paragraph" w:styleId="5">
    <w:name w:val="Heading 5"/>
    <w:basedOn w:val="Normal"/>
    <w:next w:val="Normal"/>
    <w:uiPriority w:val="9"/>
    <w:semiHidden/>
    <w:unhideWhenUsed/>
    <w:qFormat/>
    <w:pPr>
      <w:keepNext w:val="true"/>
      <w:keepLines/>
      <w:spacing w:before="220" w:after="40"/>
      <w:outlineLvl w:val="4"/>
    </w:pPr>
    <w:rPr>
      <w:b/>
    </w:rPr>
  </w:style>
  <w:style w:type="paragraph" w:styleId="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tyle8">
    <w:name w:val="Гіперпосилання"/>
    <w:rPr>
      <w:color w:val="000080"/>
      <w:u w:val="single"/>
      <w:lang w:val="zxx" w:eastAsia="zxx" w:bidi="zxx"/>
    </w:rPr>
  </w:style>
  <w:style w:type="paragraph" w:styleId="Style9">
    <w:name w:val="Заголовок"/>
    <w:basedOn w:val="Normal"/>
    <w:next w:val="Style10"/>
    <w:qFormat/>
    <w:pPr>
      <w:keepNext w:val="true"/>
      <w:spacing w:before="240" w:after="120"/>
    </w:pPr>
    <w:rPr>
      <w:rFonts w:ascii="Liberation Sans" w:hAnsi="Liberation Sans" w:eastAsia="Microsoft YaHei" w:cs="Lucida Sans"/>
      <w:sz w:val="28"/>
      <w:szCs w:val="28"/>
    </w:rPr>
  </w:style>
  <w:style w:type="paragraph" w:styleId="Style10">
    <w:name w:val="Body Text"/>
    <w:basedOn w:val="Normal"/>
    <w:pPr>
      <w:spacing w:lineRule="auto" w:line="276" w:before="0" w:after="140"/>
    </w:pPr>
    <w:rPr/>
  </w:style>
  <w:style w:type="paragraph" w:styleId="Style11">
    <w:name w:val="List"/>
    <w:basedOn w:val="Style10"/>
    <w:pPr/>
    <w:rPr>
      <w:rFonts w:cs="Lucida Sans"/>
    </w:rPr>
  </w:style>
  <w:style w:type="paragraph" w:styleId="Style12">
    <w:name w:val="Caption"/>
    <w:basedOn w:val="Normal"/>
    <w:qFormat/>
    <w:pPr>
      <w:suppressLineNumbers/>
      <w:spacing w:before="120" w:after="120"/>
    </w:pPr>
    <w:rPr>
      <w:rFonts w:cs="Lucida Sans"/>
      <w:i/>
      <w:iCs/>
      <w:sz w:val="24"/>
      <w:szCs w:val="24"/>
    </w:rPr>
  </w:style>
  <w:style w:type="paragraph" w:styleId="Style13" w:customStyle="1">
    <w:name w:val="Покажчик"/>
    <w:basedOn w:val="Normal"/>
    <w:qFormat/>
    <w:pPr>
      <w:suppressLineNumbers/>
    </w:pPr>
    <w:rPr>
      <w:rFonts w:cs="Lucida Sans"/>
    </w:rPr>
  </w:style>
  <w:style w:type="paragraph" w:styleId="Style14">
    <w:name w:val="Title"/>
    <w:basedOn w:val="Normal"/>
    <w:next w:val="Style10"/>
    <w:uiPriority w:val="10"/>
    <w:qFormat/>
    <w:pPr>
      <w:keepNext w:val="true"/>
      <w:keepLines/>
      <w:spacing w:before="480" w:after="120"/>
    </w:pPr>
    <w:rPr>
      <w:b/>
      <w:sz w:val="72"/>
      <w:szCs w:val="72"/>
    </w:rPr>
  </w:style>
  <w:style w:type="paragraph" w:styleId="Caption">
    <w:name w:val="caption"/>
    <w:basedOn w:val="Normal"/>
    <w:qFormat/>
    <w:pPr>
      <w:suppressLineNumbers/>
      <w:spacing w:before="120" w:after="120"/>
    </w:pPr>
    <w:rPr>
      <w:rFonts w:cs="Lucida Sans"/>
      <w:i/>
      <w:iCs/>
      <w:sz w:val="24"/>
      <w:szCs w:val="24"/>
    </w:rPr>
  </w:style>
  <w:style w:type="paragraph" w:styleId="Style15">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Style16" w:customStyle="1">
    <w:name w:val="Текст у вказаному форматі"/>
    <w:basedOn w:val="Normal"/>
    <w:qFormat/>
    <w:pPr>
      <w:spacing w:before="0" w:after="0"/>
    </w:pPr>
    <w:rPr>
      <w:rFonts w:ascii="Liberation Mono" w:hAnsi="Liberation Mono" w:eastAsia="Liberation Mono" w:cs="Liberation Mono"/>
      <w:sz w:val="20"/>
      <w:szCs w:val="20"/>
    </w:rPr>
  </w:style>
  <w:style w:type="paragraph" w:styleId="11" w:customStyle="1">
    <w:name w:val="Обычная таблица1"/>
    <w:qFormat/>
    <w:pPr>
      <w:widowControl/>
      <w:suppressAutoHyphens w:val="true"/>
      <w:bidi w:val="0"/>
      <w:spacing w:before="0" w:after="0"/>
      <w:jc w:val="left"/>
    </w:pPr>
    <w:rPr>
      <w:rFonts w:ascii="Times New Roman" w:hAnsi="Times New Roman" w:eastAsia="Times New Roman CE" w:cs="Times New Roman"/>
      <w:color w:val="auto"/>
      <w:kern w:val="0"/>
      <w:sz w:val="20"/>
      <w:szCs w:val="20"/>
      <w:lang w:val="uk-UA" w:eastAsia="uk-UA" w:bidi="ar-SA"/>
    </w:rPr>
  </w:style>
  <w:style w:type="paragraph" w:styleId="Style17" w:customStyle="1">
    <w:name w:val="Верхній і нижній колонтитули"/>
    <w:basedOn w:val="Normal"/>
    <w:qFormat/>
    <w:pPr>
      <w:suppressLineNumbers/>
      <w:tabs>
        <w:tab w:val="clear" w:pos="708"/>
        <w:tab w:val="center" w:pos="4819" w:leader="none"/>
        <w:tab w:val="right" w:pos="9639" w:leader="none"/>
      </w:tabs>
    </w:pPr>
    <w:rPr/>
  </w:style>
  <w:style w:type="paragraph" w:styleId="Style18">
    <w:name w:val="Header"/>
    <w:basedOn w:val="Style17"/>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youcontrol.com.ua/catalog/company_details/32009931/" TargetMode="External"/><Relationship Id="rId4" Type="http://schemas.openxmlformats.org/officeDocument/2006/relationships/hyperlink" Target="https://youcontrol.com.ua/catalog/company_details/32009931/"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Application>LibreOffice/7.0.4.2$Windows_X86_64 LibreOffice_project/dcf040e67528d9187c66b2379df5ea4407429775</Application>
  <AppVersion>15.0000</AppVersion>
  <Pages>12</Pages>
  <Words>1789</Words>
  <Characters>12249</Characters>
  <CharactersWithSpaces>14754</CharactersWithSpaces>
  <Paragraphs>140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2025-08-07T12:58:00Z</dcterms:created>
  <dc:creator>VNMR-9-ar03</dc:creator>
  <dc:description/>
  <dc:language>uk-UA</dc:language>
  <cp:lastModifiedBy/>
  <cp:lastPrinted>2025-08-11T08:23:00Z</cp:lastPrinted>
  <dcterms:modified xsi:type="dcterms:W3CDTF">2025-08-19T15:20:02Z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