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FC80" w14:textId="6F2B8163" w:rsidR="008464F6" w:rsidRPr="003C7580" w:rsidRDefault="008464F6" w:rsidP="008464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C75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</w:t>
      </w:r>
      <w:r w:rsidRPr="003C7580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52BCE" w:rsidRPr="003C7580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3C75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AAD619C" w14:textId="77777777" w:rsidR="008464F6" w:rsidRPr="003C7580" w:rsidRDefault="008464F6" w:rsidP="008464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C758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до рішення   Ніжинської міської ради</w:t>
      </w:r>
    </w:p>
    <w:p w14:paraId="488696D5" w14:textId="77777777" w:rsidR="008464F6" w:rsidRPr="003C7580" w:rsidRDefault="008464F6" w:rsidP="008464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3C758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Чернігівської області   </w:t>
      </w:r>
      <w:r w:rsidRPr="003C7580">
        <w:rPr>
          <w:rFonts w:ascii="Times New Roman" w:hAnsi="Times New Roman" w:cs="Times New Roman"/>
          <w:sz w:val="24"/>
          <w:szCs w:val="24"/>
          <w:lang w:val="en-US" w:eastAsia="ar-SA"/>
        </w:rPr>
        <w:t>VIII</w:t>
      </w:r>
      <w:r w:rsidRPr="003C758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скликання</w:t>
      </w:r>
    </w:p>
    <w:p w14:paraId="46CC491C" w14:textId="77777777" w:rsidR="003C7580" w:rsidRPr="003C7580" w:rsidRDefault="003C7580" w:rsidP="003C7580">
      <w:pPr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3C7580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від 24 грудня 2025 р. №5-52/2025 </w:t>
      </w:r>
    </w:p>
    <w:p w14:paraId="246C9508" w14:textId="77777777" w:rsidR="00130118" w:rsidRPr="008464F6" w:rsidRDefault="00130118" w:rsidP="008464F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14:paraId="6F9C149B" w14:textId="62A689DE" w:rsidR="00130118" w:rsidRDefault="008464F6" w:rsidP="008464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Програма </w:t>
      </w:r>
      <w:r w:rsidR="002F4F2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розвитку туризму  </w:t>
      </w:r>
      <w:r w:rsidR="002F4F2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="002F4F21">
        <w:rPr>
          <w:rFonts w:ascii="Times New Roman" w:hAnsi="Times New Roman" w:cs="Times New Roman"/>
          <w:b/>
          <w:bCs/>
          <w:sz w:val="24"/>
          <w:szCs w:val="24"/>
        </w:rPr>
        <w:t>Ніжинській</w:t>
      </w:r>
      <w:proofErr w:type="spellEnd"/>
      <w:r w:rsidR="002F4F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4F21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 w:rsidR="002F4F21">
        <w:rPr>
          <w:rFonts w:ascii="Times New Roman" w:hAnsi="Times New Roman" w:cs="Times New Roman"/>
          <w:b/>
          <w:bCs/>
          <w:sz w:val="24"/>
          <w:szCs w:val="24"/>
        </w:rPr>
        <w:t>ТГ</w:t>
      </w:r>
      <w:r w:rsidR="002F4F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F4F21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на 2026-2028 рр.</w:t>
      </w:r>
    </w:p>
    <w:p w14:paraId="1C5E2592" w14:textId="2A03E417" w:rsidR="00130118" w:rsidRDefault="002F4F21" w:rsidP="00846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І.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Паспорт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Програми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</w:p>
    <w:tbl>
      <w:tblPr>
        <w:tblW w:w="10502" w:type="dxa"/>
        <w:tblInd w:w="-494" w:type="dxa"/>
        <w:tblLayout w:type="fixed"/>
        <w:tblLook w:val="04A0" w:firstRow="1" w:lastRow="0" w:firstColumn="1" w:lastColumn="0" w:noHBand="0" w:noVBand="1"/>
      </w:tblPr>
      <w:tblGrid>
        <w:gridCol w:w="630"/>
        <w:gridCol w:w="4560"/>
        <w:gridCol w:w="5312"/>
      </w:tblGrid>
      <w:tr w:rsidR="00130118" w14:paraId="38A320DD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50B3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E4A7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Ініціатор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DCD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78ABF1C0" w14:textId="77777777">
        <w:trPr>
          <w:trHeight w:val="16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8B62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2B49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4C97" w14:textId="77777777" w:rsidR="00130118" w:rsidRDefault="002F4F21" w:rsidP="008464F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ст.23,54 Конституції України,    Закони України: «Про місцеве самоврядування в Україні», «Про внесення змін до Закону України «Про туризм», «Про музеї і музейну справу», «Про охорону культурної спадщини»</w:t>
            </w:r>
          </w:p>
        </w:tc>
      </w:tr>
      <w:tr w:rsidR="00130118" w14:paraId="6BBEFCDD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5C17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DC9C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Розробник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290F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3E281D24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9104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FB20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розпорядник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коштів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EF0F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722ED1E6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D050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458F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572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і туризму  Ніжинської міської ради</w:t>
            </w:r>
          </w:p>
        </w:tc>
      </w:tr>
      <w:tr w:rsidR="00130118" w14:paraId="162E29F7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4BE2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E329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6F5D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роки</w:t>
            </w:r>
          </w:p>
        </w:tc>
      </w:tr>
      <w:tr w:rsidR="00130118" w14:paraId="05D53334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A0DB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A6E8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  <w:p w14:paraId="1CA6F8B6" w14:textId="77777777" w:rsidR="00130118" w:rsidRDefault="00130118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1D48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р.</w:t>
            </w:r>
          </w:p>
          <w:p w14:paraId="359031B7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7D01C28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130118" w14:paraId="0C021D7C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115A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A422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кредиторська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періодів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D582E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тому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E6E0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30118" w14:paraId="2BAD1432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C60F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724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ТГ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B3D0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130118" w14:paraId="02505E2B" w14:textId="77777777">
        <w:trPr>
          <w:trHeight w:val="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FA4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595F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небюджетних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джерел</w:t>
            </w:r>
            <w:proofErr w:type="spellEnd"/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86B3" w14:textId="77777777" w:rsidR="00130118" w:rsidRDefault="002F4F21" w:rsidP="00846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300 000 грн.</w:t>
            </w:r>
          </w:p>
        </w:tc>
      </w:tr>
    </w:tbl>
    <w:p w14:paraId="0FBDFE60" w14:textId="77777777" w:rsidR="00130118" w:rsidRDefault="002F4F21" w:rsidP="0084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. Проблема, на розв’язання якої спрямована Програма</w:t>
      </w:r>
    </w:p>
    <w:p w14:paraId="06D451DD" w14:textId="77777777" w:rsidR="00130118" w:rsidRDefault="002F4F21" w:rsidP="008464F6">
      <w:pPr>
        <w:pStyle w:val="a3"/>
        <w:rPr>
          <w:sz w:val="24"/>
        </w:rPr>
      </w:pPr>
      <w:r>
        <w:rPr>
          <w:bCs/>
          <w:sz w:val="24"/>
        </w:rPr>
        <w:tab/>
        <w:t>Міська Програма розвитку туризму на 2026-2028 роки забезпечує виконання   Конституції України, Законів України: «Про місцеве самоврядування в Україні», «Про туризм»,  «Про музеї і музейну справу»,  «Про охорону культурної спадщини».</w:t>
      </w:r>
      <w:r>
        <w:rPr>
          <w:sz w:val="24"/>
        </w:rPr>
        <w:t xml:space="preserve"> </w:t>
      </w:r>
    </w:p>
    <w:p w14:paraId="1A554C7A" w14:textId="77777777" w:rsidR="00130118" w:rsidRDefault="002F4F21" w:rsidP="008464F6">
      <w:pPr>
        <w:pStyle w:val="a3"/>
        <w:ind w:firstLine="708"/>
        <w:rPr>
          <w:sz w:val="24"/>
        </w:rPr>
      </w:pPr>
      <w:r>
        <w:rPr>
          <w:sz w:val="24"/>
        </w:rPr>
        <w:t>Туристична галузь як України в цілому, так і Ніжинської міської  територіальної громади, зокрема, послідовно набуває все більшого значення. Розвиток цієї галузі є важливим з точки зору збільшення надходжень до бюджету, істотного позитивного впливу на стан справ у багатьох галузях економіки (транспорт, торгівля, зв’язок тощо). Туризм сприяє підвищенню зайнятості населення, розвитку ринкових відносин, міжнародному співробітництву тощо.</w:t>
      </w:r>
    </w:p>
    <w:p w14:paraId="556398D8" w14:textId="77777777" w:rsidR="00130118" w:rsidRDefault="002F4F21" w:rsidP="008464F6">
      <w:pPr>
        <w:pStyle w:val="a3"/>
        <w:rPr>
          <w:sz w:val="24"/>
        </w:rPr>
      </w:pPr>
      <w:r>
        <w:rPr>
          <w:sz w:val="24"/>
        </w:rPr>
        <w:tab/>
        <w:t>Для інтенсивного та якісного розвитку туристичної галузі Ніжинської МТГ  необхідно використовувати комплексний підхід до цього питання.</w:t>
      </w:r>
    </w:p>
    <w:p w14:paraId="68EB7CF8" w14:textId="77777777" w:rsidR="00130118" w:rsidRDefault="002F4F21" w:rsidP="00846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Ніжин як важливий центр наукового, духовного і культурного життя України, має можливості розвивати найбільш перспективні види туризму. Існуючі можливості для розвитку різних видів туризму дозволяють істотно урізноманітнити пропозицію і підвищують конкурентоспроможність міського туристського продукту. </w:t>
      </w:r>
    </w:p>
    <w:p w14:paraId="2D262284" w14:textId="77777777" w:rsidR="00130118" w:rsidRDefault="002F4F21" w:rsidP="00846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Розвиток туризму має стимулюватися функціонуванням на території громади розвиненою мережею автодоріг та залізничних шляхів, наявністю широкого спектру супутніх послуг (готелі, заклади культури та мистецтв, історично-архітектурні пам’ятки, заклади харчування та розваг тощо). </w:t>
      </w:r>
    </w:p>
    <w:p w14:paraId="2B06F56D" w14:textId="77777777" w:rsidR="00130118" w:rsidRDefault="002F4F21" w:rsidP="00846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Одним з головних факторів, що стримує розвиток туризму в Ніжинській міської територіальній громаді, на цей час є дефіцит комплексних інформаційних матеріалів з туристичною символікою єдиної інформаційно-туристичної спрямованості для загальної презентації громади на всеукраїнських та міжнародних заходах туристичної спрямованості. </w:t>
      </w:r>
    </w:p>
    <w:p w14:paraId="45021769" w14:textId="77777777" w:rsidR="00130118" w:rsidRDefault="002F4F21" w:rsidP="008464F6">
      <w:pPr>
        <w:pStyle w:val="a3"/>
        <w:rPr>
          <w:sz w:val="24"/>
        </w:rPr>
      </w:pPr>
      <w:r>
        <w:rPr>
          <w:sz w:val="24"/>
        </w:rPr>
        <w:lastRenderedPageBreak/>
        <w:tab/>
        <w:t xml:space="preserve"> Програма розвитку туризму в Ніжинській МТГ на 2026-2028 рр. (далі – Програма) спрямована на подолання цих та інших негативних факторів, з метою ефективного використання наявних туристично-екскурсійних ресурсів, розвитку ринкових відносин у туристичній сфері, підвищення рівня міжгалузевого співробітництва громади.</w:t>
      </w:r>
    </w:p>
    <w:p w14:paraId="7C48F58D" w14:textId="77777777" w:rsidR="00130118" w:rsidRDefault="002F4F21" w:rsidP="008464F6">
      <w:pPr>
        <w:pStyle w:val="a3"/>
        <w:ind w:firstLine="708"/>
        <w:rPr>
          <w:sz w:val="24"/>
        </w:rPr>
      </w:pPr>
      <w:r>
        <w:rPr>
          <w:sz w:val="24"/>
        </w:rPr>
        <w:t>Програмою передбачається здійснення комплексу заходів для вдосконалення діяльності туристичної галузі, подальшого розвитку туристичної інфраструктури, нарощування обсягів надання туристичних послуг за рахунок розширення в'їзного та внутрішнього туризму, а також заходів націлених на підтримку рекламно-інформаційної діяльності та промоцію міжнародного туристичного іміджу Ніжинської міської територіальної громади.</w:t>
      </w:r>
    </w:p>
    <w:p w14:paraId="16011D55" w14:textId="77777777" w:rsidR="00130118" w:rsidRDefault="002F4F21" w:rsidP="008464F6">
      <w:pPr>
        <w:pStyle w:val="a3"/>
        <w:ind w:firstLine="851"/>
        <w:rPr>
          <w:sz w:val="24"/>
        </w:rPr>
      </w:pPr>
      <w:r>
        <w:rPr>
          <w:sz w:val="24"/>
        </w:rPr>
        <w:t>Питання в галузі туризму, що потребують першочергового вирішення:</w:t>
      </w:r>
    </w:p>
    <w:p w14:paraId="43CF0A24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маркетинг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продукту 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МТГ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C4CCC2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ідвищення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кваліфікації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кадрів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галузі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туризму,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покращення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якості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0F02BD5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розширення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співпраці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-побратимами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спільних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обмінів</w:t>
      </w:r>
    </w:p>
    <w:p w14:paraId="08CE5FE0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центру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гостей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друкованих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електронних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громади</w:t>
      </w:r>
    </w:p>
    <w:p w14:paraId="7040D184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проведення заходів із пропаганди перспектив розвитку туристичної галузі шляхом організації семінарів, презентацій, навчань, виставок, «круглих столів», благодійних екскурсій, тощо</w:t>
      </w:r>
    </w:p>
    <w:p w14:paraId="01B29730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розширення асортиментів природних турів для різних груп туристів та різних сезонів; використання диференційованої цінової політики; </w:t>
      </w:r>
    </w:p>
    <w:p w14:paraId="3B5EC502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розвиток системи додаткових послуг і супутніх продуктів при реалізації існуючих турів; </w:t>
      </w:r>
    </w:p>
    <w:p w14:paraId="3DB8BCE3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диференційованої та гнучкої цінової політики; </w:t>
      </w:r>
    </w:p>
    <w:p w14:paraId="7333352A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маркетингове стимулювання найбільш популярних турів і маршрутів; </w:t>
      </w:r>
    </w:p>
    <w:p w14:paraId="0E8B9142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зниження витрат за рахунок оптимізації туристичної логістики на найбільш популярних напрямках; </w:t>
      </w:r>
    </w:p>
    <w:p w14:paraId="1B505457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об'єднання малоприбуткових турів і створення комплексних тур продуктів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організація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вечорів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видам туризму);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sz w:val="24"/>
          <w:szCs w:val="24"/>
        </w:rPr>
        <w:t>творення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системи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подієвого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туризму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3C04C64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і просування турів, орієнтованих на різні споживчі групи; </w:t>
      </w:r>
    </w:p>
    <w:p w14:paraId="333FA0C6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оновлення формату подій (свят, концертів, фестивалів) і створення супутніх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турпродуктів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що їх доповнюють; </w:t>
      </w:r>
    </w:p>
    <w:p w14:paraId="2B079CEE" w14:textId="77777777" w:rsidR="00130118" w:rsidRDefault="002F4F21" w:rsidP="008464F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турпродуктів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нових туристичних ринках через зовнішні маркетингові мережі.</w:t>
      </w:r>
    </w:p>
    <w:p w14:paraId="5E1C177F" w14:textId="77777777" w:rsidR="00130118" w:rsidRDefault="002F4F21" w:rsidP="0084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3. Мета програми</w:t>
      </w:r>
    </w:p>
    <w:p w14:paraId="76BE5673" w14:textId="77777777" w:rsidR="00130118" w:rsidRDefault="002F4F21" w:rsidP="00846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Основною метою Програми є створення  туристичного продукту, здатного максимально задовольнити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туристичні потреби населення громади за умови збереження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екологічної рівноваги та культурної спадщини.</w:t>
      </w:r>
    </w:p>
    <w:p w14:paraId="5A41A223" w14:textId="77777777" w:rsidR="00130118" w:rsidRDefault="002F4F21" w:rsidP="008464F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4. Обґрунтування шляхів і засобів розв’язання проблеми, обсягів та джерел фінансування; строки та етапи виконання програми</w:t>
      </w:r>
    </w:p>
    <w:p w14:paraId="22F6013E" w14:textId="77777777" w:rsidR="00130118" w:rsidRDefault="002F4F21" w:rsidP="008464F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.1. Шляхи та засоби вирішення проблеми</w:t>
      </w:r>
    </w:p>
    <w:p w14:paraId="529A69E9" w14:textId="77777777" w:rsidR="00130118" w:rsidRDefault="002F4F21" w:rsidP="008464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Розвиток матеріальної бази туризму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08DDE6F1" w14:textId="77777777" w:rsidR="00130118" w:rsidRDefault="002F4F21" w:rsidP="008464F6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Розробити туристичний  паспорт громади, сформувати банк даних про його туристичні об’єкти.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uk-UA"/>
        </w:rPr>
        <w:t xml:space="preserve"> Для удосконалення рекламно-інформаційної діяльності у туристичній галузі, поліпшення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іміджу громади на міжнародній арені,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озробити карти, схеми туристичних об'єктів і схеми розміщення пунктів сервісу в туристично-рекламних зонах громади.</w:t>
      </w:r>
    </w:p>
    <w:p w14:paraId="43F1501E" w14:textId="77777777" w:rsidR="00130118" w:rsidRDefault="002F4F21" w:rsidP="008464F6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Розширити мережу пунктів по виготовленню та продажу сувенірної продукції.</w:t>
      </w:r>
    </w:p>
    <w:p w14:paraId="1B9B5AF4" w14:textId="77777777" w:rsidR="00130118" w:rsidRDefault="002F4F21" w:rsidP="008464F6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Брати участь у проведенні досліджень з питань розвитку туризму, підготовці рішень про пріоритетність розвитку та фінансування проектів туристичної галузі.</w:t>
      </w:r>
    </w:p>
    <w:p w14:paraId="31FD0421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Розвиток туристичної інфраструктури у рамках підготовки до створення в місті Ніжині історико-культурного заповідника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52943663" w14:textId="77777777" w:rsidR="00130118" w:rsidRDefault="002F4F21" w:rsidP="008464F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Активізувати роботу щодо пошуку потенційних інвесторів з метою створення та розвитку об’єктів туристичної  інфраструктури.</w:t>
      </w:r>
    </w:p>
    <w:p w14:paraId="1AF749FC" w14:textId="77777777" w:rsidR="00130118" w:rsidRDefault="002F4F21" w:rsidP="008464F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перевірки стану об’єктів туристичної  інфраструктури  громади.</w:t>
      </w:r>
    </w:p>
    <w:p w14:paraId="1BDE101B" w14:textId="77777777" w:rsidR="00130118" w:rsidRDefault="002F4F21" w:rsidP="008464F6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Визначити потребу у встановленні нових та заміні існуючих дороговказів до екскурсійних та туристично-рекреаційних об’єктів громади за напрямками туристичних маршрутів і провести відповідну роботу щодо їх встановлення.</w:t>
      </w:r>
    </w:p>
    <w:p w14:paraId="311CA132" w14:textId="77777777" w:rsidR="00130118" w:rsidRDefault="002F4F21" w:rsidP="008464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Удосконалення рекламно-інформаційної діяльності:</w:t>
      </w:r>
    </w:p>
    <w:p w14:paraId="3260B649" w14:textId="77777777" w:rsidR="00130118" w:rsidRDefault="002F4F21" w:rsidP="008464F6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заходи, присвячені відзначенню в громаді Всесвітнього Дня туризму та Дня туризму в Україні.</w:t>
      </w:r>
    </w:p>
    <w:p w14:paraId="433DCE0F" w14:textId="77777777" w:rsidR="00130118" w:rsidRDefault="002F4F21" w:rsidP="008464F6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Організувати розробку та впровадження нових туристичних маршрутів по території громади.</w:t>
      </w:r>
    </w:p>
    <w:p w14:paraId="3516F07D" w14:textId="77777777" w:rsidR="00130118" w:rsidRDefault="002F4F21" w:rsidP="008464F6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Сприяти роботі та розвитку мережі інформаційно-туристичних  агенцій  в громаді.</w:t>
      </w:r>
    </w:p>
    <w:p w14:paraId="4C14B97C" w14:textId="77777777" w:rsidR="00130118" w:rsidRDefault="002F4F21" w:rsidP="008464F6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Брати участь у роботі міжнародних туристичних спеціалізованих семінарів, конференцій, салонів та виставок-ярмарків.</w:t>
      </w:r>
    </w:p>
    <w:p w14:paraId="521CAE3A" w14:textId="77777777" w:rsidR="00130118" w:rsidRDefault="002F4F21" w:rsidP="008464F6">
      <w:pPr>
        <w:pStyle w:val="a9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Провести роботу щодо розробки, випуску та поширення рекламно-інформаційної продукції про туристичний потенціал громади.</w:t>
      </w:r>
    </w:p>
    <w:p w14:paraId="3154BB4A" w14:textId="77777777" w:rsidR="00130118" w:rsidRDefault="002F4F21" w:rsidP="008464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Розвиток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подієвого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туризму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1AA1E605" w14:textId="77777777" w:rsidR="00130118" w:rsidRDefault="002F4F21" w:rsidP="008464F6">
      <w:pPr>
        <w:pStyle w:val="a9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Забезпечити туристичну складову під час проведення культурно-мистецьких свят та фестивалів «Покровський ярмарок», «Покровські візерунки», «Сесія», «У передзвоні літ…»,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Седнівська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осінь» (смт. Седнів),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Качанівські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музи» (с. Качанівка), «Вересаєве свято» (с. Сокиринці),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Коровель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(с.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Шестовиця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), «Поліське коло» (м. Чернігів), «Київська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русь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сел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Любеч), «Обласне козацьке свято» (м. Батурин), тощо.</w:t>
      </w:r>
    </w:p>
    <w:p w14:paraId="50020304" w14:textId="77777777" w:rsidR="00130118" w:rsidRDefault="002F4F21" w:rsidP="008464F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.2. Обсяги та джерела фінансування</w:t>
      </w:r>
    </w:p>
    <w:p w14:paraId="783A88F1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Програми здійснюється за рахунок:</w:t>
      </w:r>
    </w:p>
    <w:p w14:paraId="78A4733E" w14:textId="77777777" w:rsidR="00130118" w:rsidRDefault="002F4F21" w:rsidP="008464F6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коштів бюджету Ніжинської міської територіальної громади;</w:t>
      </w:r>
    </w:p>
    <w:p w14:paraId="57E60EBA" w14:textId="77777777" w:rsidR="00130118" w:rsidRDefault="002F4F21" w:rsidP="008464F6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коштів небюджетних  джерел, які не заборонені чинним законодавством.</w:t>
      </w:r>
    </w:p>
    <w:p w14:paraId="2FCFE37E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Фінансування на виконання заходів Програми з бюджету Ніжинської міської ТГ здійснюється відповідно до кошторису, після затвердження його рішенням сесії міської ради в межах бюджетних асигнувань та за рахунок надходжень спонсорської допомоги.</w:t>
      </w:r>
    </w:p>
    <w:p w14:paraId="55571E28" w14:textId="77777777" w:rsidR="00130118" w:rsidRDefault="002F4F21" w:rsidP="008464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Загальний обсяг фінансових ресурсів, які пропонується залучити для реалізації даної програми становить  </w:t>
      </w:r>
      <w:r w:rsidRPr="00E3532F">
        <w:rPr>
          <w:rFonts w:ascii="Times New Roman" w:eastAsia="Times New Roman" w:hAnsi="Times New Roman" w:cs="Times New Roman"/>
          <w:sz w:val="24"/>
          <w:szCs w:val="24"/>
        </w:rPr>
        <w:t>856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000грн.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A2CC604" w14:textId="77777777" w:rsidR="00130118" w:rsidRDefault="002F4F21" w:rsidP="008464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 xml:space="preserve"> Строки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B546FD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Етапи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F715950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 етап – 2026 р.;  </w:t>
      </w:r>
    </w:p>
    <w:p w14:paraId="2A7C2037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 етап – 2027 р.;</w:t>
      </w:r>
    </w:p>
    <w:p w14:paraId="76ECA2C3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ІІІ етап – 2028 р.</w:t>
      </w:r>
    </w:p>
    <w:p w14:paraId="2DCAAF8F" w14:textId="77777777" w:rsidR="00130118" w:rsidRDefault="002F4F21" w:rsidP="008464F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>
        <w:rPr>
          <w:rFonts w:ascii="Times New Roman" w:hAnsi="Times New Roman"/>
          <w:sz w:val="24"/>
          <w:szCs w:val="24"/>
          <w:u w:val="single"/>
          <w:lang w:val="uk-UA"/>
        </w:rPr>
        <w:t>Напрями діяльності, перелік завдань і заходів Програми  та результативні показники</w:t>
      </w:r>
    </w:p>
    <w:p w14:paraId="53BDB9AB" w14:textId="77777777" w:rsidR="00130118" w:rsidRDefault="002F4F21" w:rsidP="008464F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Напрями діяльності:</w:t>
      </w:r>
    </w:p>
    <w:p w14:paraId="3088C238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Розширення міжнародної співпраці в туристичній галузі.</w:t>
      </w:r>
    </w:p>
    <w:p w14:paraId="098FA3CE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Підвищення якості та розширення асортименту туристичних послуг.</w:t>
      </w:r>
    </w:p>
    <w:p w14:paraId="668BD7EC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Розширення напрямків розвитку туризму.</w:t>
      </w:r>
    </w:p>
    <w:p w14:paraId="1DE75A85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Підвищення ефективності використання рекреаційних ресурсів та об'єктів культурної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 xml:space="preserve"> спадщини.</w:t>
      </w:r>
    </w:p>
    <w:p w14:paraId="4F88555D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/>
        </w:rPr>
        <w:t xml:space="preserve">оліпшення інформаційного,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рекламного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кадрового забезпечення та транспортного обслуговування.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3FC1B4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Розробка та постійне оновлення інформаційного веб-сайту про туристично-екскурсійні можливості Ніжинської територіальної громади;</w:t>
      </w:r>
    </w:p>
    <w:p w14:paraId="74F6E5F6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Провести аналіз діяльності суб'єктів туристичної діяльності в громаді  та розробити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uk-UA"/>
        </w:rPr>
        <w:t xml:space="preserve"> за його результатами заходи щодо підвищення ефективності їх роботи на ринку туристичних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 xml:space="preserve"> послуг.</w:t>
      </w:r>
    </w:p>
    <w:p w14:paraId="3EE10AD3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val="uk-UA"/>
        </w:rPr>
        <w:t>Забезпечити створення сприятливих умов для залучення іноземних і вітчизняних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інвестицій у розвиток матеріально-технічної бази туристичної галузі,   у відповідності до чинного законодавства.</w:t>
      </w:r>
    </w:p>
    <w:p w14:paraId="5A690F40" w14:textId="77777777" w:rsidR="00130118" w:rsidRDefault="002F4F21" w:rsidP="008464F6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pacing w:val="5"/>
          <w:sz w:val="24"/>
          <w:szCs w:val="24"/>
          <w:lang w:val="uk-UA"/>
        </w:rPr>
        <w:t>Підтримати  туристично-оздоровчу та екскурсійну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роботу серед дітей, підлітків і молоді громади.</w:t>
      </w:r>
    </w:p>
    <w:p w14:paraId="0B7AF8D9" w14:textId="77777777" w:rsidR="00130118" w:rsidRDefault="002F4F21" w:rsidP="008464F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Перелік заходів та р</w:t>
      </w:r>
      <w:r>
        <w:rPr>
          <w:rFonts w:ascii="Times New Roman" w:hAnsi="Times New Roman" w:cs="Times New Roman"/>
          <w:sz w:val="24"/>
          <w:szCs w:val="24"/>
          <w:lang w:val="uk-UA"/>
        </w:rPr>
        <w:t>езультативні показники вказані у Додатку 2 до Програми.</w:t>
      </w:r>
    </w:p>
    <w:p w14:paraId="07A95435" w14:textId="77777777" w:rsidR="00130118" w:rsidRDefault="00130118" w:rsidP="008464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061031A6" w14:textId="77777777" w:rsidR="00130118" w:rsidRDefault="00130118" w:rsidP="008464F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</w:p>
    <w:p w14:paraId="364D7037" w14:textId="77777777" w:rsidR="00130118" w:rsidRDefault="002F4F21" w:rsidP="008464F6">
      <w:pPr>
        <w:numPr>
          <w:ilvl w:val="0"/>
          <w:numId w:val="8"/>
        </w:num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lastRenderedPageBreak/>
        <w:t>Координація і  контроль за ходом виконання програми</w:t>
      </w:r>
    </w:p>
    <w:p w14:paraId="53D6CFB0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Виконання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>програми  відповідальними виконавцями програми за рахунок коштів бюджету Ніжинської міської територіальної громади забезпечується з урахуваннями його можливості у бюджетному періоді в межах асигнувань, передбачених  на Програму.</w:t>
      </w:r>
    </w:p>
    <w:p w14:paraId="72EA6761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Безпосередній контроль за виконанням заходів і завдань програми, цільовим та ефективним використанням  коштів забезпечує головний розпорядник бюджетних коштів.</w:t>
      </w:r>
    </w:p>
    <w:p w14:paraId="258CE947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 метою підвищення ефективності використання бюджетних  коштів, відповідальні виконавці протягом року ініціюють внесення змін до Програми на підставі даних аналізу щодо стану її виконання.</w:t>
      </w:r>
    </w:p>
    <w:p w14:paraId="29DE1825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Звіт про  виконання Програми щоквартально до 6-го числа місяця, наступного за звітним кварталом, головним розпорядником бюджетних коштів надається фінансовому управлінню Ніжинської міської ради.</w:t>
      </w:r>
    </w:p>
    <w:p w14:paraId="485104A1" w14:textId="77777777" w:rsidR="00130118" w:rsidRDefault="002F4F21" w:rsidP="008464F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Головний розпорядник звітує про виконання Програми на пленарному засіданні сесії Ніжинської  міської ради за підсумками року. </w:t>
      </w:r>
    </w:p>
    <w:p w14:paraId="672B6F60" w14:textId="77777777" w:rsidR="00130118" w:rsidRDefault="002F4F21" w:rsidP="0084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085C9C61" w14:textId="77777777" w:rsidR="00130118" w:rsidRDefault="00130118" w:rsidP="0084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3E7FB4B" w14:textId="77777777" w:rsidR="00130118" w:rsidRDefault="00130118" w:rsidP="0084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5A06614" w14:textId="77777777" w:rsidR="00130118" w:rsidRDefault="00130118" w:rsidP="00846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40971E" w14:textId="16ED20E5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213A86A" w14:textId="6730BF53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428C4AB" w14:textId="3B0DB514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7E89BC1" w14:textId="51AC0CA2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6D94AB" w14:textId="16ED3A97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5ED7DDC" w14:textId="230233F2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68F8848" w14:textId="6B6C02ED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9B936F5" w14:textId="417E2E65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C6A6EB" w14:textId="7FFE511F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A7B049A" w14:textId="3C6C68FA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6042147" w14:textId="077D6E33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1F93FFD" w14:textId="0218C639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B792F2F" w14:textId="4313D393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AA89365" w14:textId="602B74EA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E310C12" w14:textId="3AA9114A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3091C61" w14:textId="77777777" w:rsidR="008464F6" w:rsidRDefault="008464F6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BF25D66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F5E381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63259059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31F80EC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AA1A85D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6C4CE55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72C3E7D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7661050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18C8ACD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7B5CE16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4B00652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7FEF59F1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C5A70CF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4A66B39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0F6C4220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73185FD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1EE15DF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5C9F97C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074CBFC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3BC25664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9791DFC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2680165A" w14:textId="77777777" w:rsidR="00130118" w:rsidRDefault="00130118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1AE65151" w14:textId="77777777" w:rsidR="00130118" w:rsidRDefault="002F4F21" w:rsidP="008464F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</w:t>
      </w:r>
    </w:p>
    <w:p w14:paraId="10CA4301" w14:textId="77777777" w:rsidR="00130118" w:rsidRDefault="002F4F21" w:rsidP="008464F6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Програми розвитку туризму </w:t>
      </w:r>
      <w:r>
        <w:rPr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Ніжинській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</w:rPr>
        <w:t>ТГ</w:t>
      </w:r>
      <w:r>
        <w:rPr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2026-2028 рр.</w:t>
      </w:r>
    </w:p>
    <w:p w14:paraId="3A794824" w14:textId="77777777" w:rsidR="00130118" w:rsidRDefault="00130118" w:rsidP="008464F6">
      <w:pPr>
        <w:spacing w:after="0" w:line="240" w:lineRule="auto"/>
        <w:ind w:left="5310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D1718E" w14:textId="77777777" w:rsidR="00130118" w:rsidRDefault="002F4F21" w:rsidP="008464F6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Ресурсне забезпечення </w:t>
      </w:r>
    </w:p>
    <w:p w14:paraId="52FE44AE" w14:textId="77777777" w:rsidR="00130118" w:rsidRDefault="002F4F21" w:rsidP="008464F6">
      <w:pPr>
        <w:spacing w:after="0" w:line="240" w:lineRule="auto"/>
        <w:ind w:left="108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розвитку туризму  </w:t>
      </w:r>
      <w:r>
        <w:rPr>
          <w:rFonts w:ascii="Times New Roman" w:hAnsi="Times New Roman" w:cs="Times New Roman"/>
          <w:sz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</w:rPr>
        <w:t>Ніжинській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</w:rPr>
        <w:t>ТГ</w:t>
      </w:r>
      <w:r>
        <w:rPr>
          <w:sz w:val="24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2026-2028 рр.</w:t>
      </w:r>
    </w:p>
    <w:p w14:paraId="7F9D96DB" w14:textId="77777777" w:rsidR="00130118" w:rsidRDefault="002F4F21" w:rsidP="008464F6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назва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програми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BB152FB" w14:textId="77777777" w:rsidR="00130118" w:rsidRDefault="00130118" w:rsidP="008464F6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C9581A" w14:textId="77777777" w:rsidR="00130118" w:rsidRDefault="00130118" w:rsidP="008464F6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3215"/>
        <w:gridCol w:w="1844"/>
        <w:gridCol w:w="1700"/>
        <w:gridCol w:w="1702"/>
        <w:gridCol w:w="1655"/>
      </w:tblGrid>
      <w:tr w:rsidR="00130118" w14:paraId="670EEC3F" w14:textId="77777777">
        <w:trPr>
          <w:jc w:val="center"/>
        </w:trPr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AD06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пропонується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залучити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6EE8" w14:textId="77777777" w:rsidR="00130118" w:rsidRDefault="002F4F21" w:rsidP="008464F6">
            <w:pPr>
              <w:tabs>
                <w:tab w:val="left" w:pos="4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F2C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</w:tr>
      <w:tr w:rsidR="00130118" w14:paraId="633EBE30" w14:textId="77777777">
        <w:trPr>
          <w:jc w:val="center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EB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716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693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32E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A70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18" w14:paraId="47047146" w14:textId="77777777">
        <w:trPr>
          <w:jc w:val="center"/>
        </w:trPr>
        <w:tc>
          <w:tcPr>
            <w:tcW w:w="3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20E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676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FBD8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644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ік</w:t>
            </w:r>
            <w:proofErr w:type="spellEnd"/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188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118" w14:paraId="5B50C01A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701C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заборгованість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A84E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92C6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98FC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DA5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000грн.</w:t>
            </w:r>
          </w:p>
        </w:tc>
      </w:tr>
      <w:tr w:rsidR="00130118" w14:paraId="64C30E8B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B63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7C186BE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DFE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758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B8FA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3A58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30118" w14:paraId="7C2FC6FE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DCC3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</w:t>
            </w:r>
          </w:p>
          <w:p w14:paraId="0A4EFEC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0AC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36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7533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41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30118" w14:paraId="4E0BDA5A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764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іжинської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  <w:p w14:paraId="131270C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565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9FE5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E39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4 000грн.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EC8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000грн.</w:t>
            </w:r>
          </w:p>
        </w:tc>
      </w:tr>
      <w:tr w:rsidR="00130118" w14:paraId="103B4881" w14:textId="77777777">
        <w:trPr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9593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небюджетних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proofErr w:type="gramEnd"/>
          </w:p>
          <w:p w14:paraId="0BAAEAF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DE6B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718F" w14:textId="77777777" w:rsidR="00130118" w:rsidRDefault="002F4F21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7C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 грн.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718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300 000 грн.</w:t>
            </w:r>
          </w:p>
        </w:tc>
      </w:tr>
    </w:tbl>
    <w:p w14:paraId="4D593043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9D6B67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E524B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F17D518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56EF5C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2956CB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6F37055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2932C9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B8E34EB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90E46D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6980743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15B4AC4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650083B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58C720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DC1508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D1F97DE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011EFD2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2A32C4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EA5D1F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60358E2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975C23A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5A8E2AC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B0C8B6B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B4D64C8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3202F7D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4CA985D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B440C56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9A364D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130118">
          <w:pgSz w:w="11906" w:h="16838"/>
          <w:pgMar w:top="567" w:right="566" w:bottom="567" w:left="1418" w:header="0" w:footer="0" w:gutter="0"/>
          <w:cols w:space="720"/>
          <w:formProt w:val="0"/>
          <w:docGrid w:linePitch="360"/>
        </w:sectPr>
      </w:pPr>
    </w:p>
    <w:tbl>
      <w:tblPr>
        <w:tblW w:w="16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4"/>
        <w:gridCol w:w="1464"/>
        <w:gridCol w:w="908"/>
        <w:gridCol w:w="989"/>
        <w:gridCol w:w="987"/>
        <w:gridCol w:w="432"/>
        <w:gridCol w:w="949"/>
        <w:gridCol w:w="951"/>
        <w:gridCol w:w="386"/>
        <w:gridCol w:w="167"/>
        <w:gridCol w:w="778"/>
        <w:gridCol w:w="975"/>
        <w:gridCol w:w="422"/>
        <w:gridCol w:w="1230"/>
        <w:gridCol w:w="240"/>
      </w:tblGrid>
      <w:tr w:rsidR="00130118" w14:paraId="196DAE88" w14:textId="77777777">
        <w:trPr>
          <w:trHeight w:val="633"/>
        </w:trPr>
        <w:tc>
          <w:tcPr>
            <w:tcW w:w="12407" w:type="dxa"/>
            <w:gridSpan w:val="10"/>
            <w:vAlign w:val="bottom"/>
          </w:tcPr>
          <w:p w14:paraId="432219F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lastRenderedPageBreak/>
              <w:t>Перелік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завдань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 xml:space="preserve"> та результативні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 xml:space="preserve">показники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туризму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Ніжинській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val="uk-UA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ТГ</w:t>
            </w:r>
            <w:r>
              <w:rPr>
                <w:b/>
                <w:bCs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.</w:t>
            </w:r>
          </w:p>
          <w:p w14:paraId="0E49F0AB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405" w:type="dxa"/>
            <w:gridSpan w:val="4"/>
            <w:vAlign w:val="bottom"/>
          </w:tcPr>
          <w:p w14:paraId="45A299DA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Додаток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 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туризму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Ніжинській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ТГ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2028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240" w:type="dxa"/>
          </w:tcPr>
          <w:p w14:paraId="09F50FD9" w14:textId="77777777" w:rsidR="00130118" w:rsidRDefault="00130118" w:rsidP="008464F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0118" w14:paraId="6345F957" w14:textId="77777777">
        <w:trPr>
          <w:trHeight w:val="199"/>
        </w:trPr>
        <w:tc>
          <w:tcPr>
            <w:tcW w:w="5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1D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Мета,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завданн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, заходи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A34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Джерела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фінансування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C4D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грн.</w:t>
            </w:r>
          </w:p>
        </w:tc>
        <w:tc>
          <w:tcPr>
            <w:tcW w:w="7036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E201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0CE45" w14:textId="77777777" w:rsidR="00130118" w:rsidRDefault="002F4F21" w:rsidP="008464F6">
            <w:pPr>
              <w:spacing w:after="0" w:line="240" w:lineRule="auto"/>
              <w:rPr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Відповідальні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виконавці</w:t>
            </w:r>
            <w:proofErr w:type="spellEnd"/>
          </w:p>
        </w:tc>
      </w:tr>
      <w:tr w:rsidR="00130118" w14:paraId="37E262ED" w14:textId="77777777">
        <w:trPr>
          <w:trHeight w:val="199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7B5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62D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E96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045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BB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23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2258F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ІІІ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етап</w:t>
            </w:r>
            <w:proofErr w:type="spellEnd"/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135B" w14:textId="77777777" w:rsidR="00130118" w:rsidRDefault="00130118" w:rsidP="008464F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0118" w14:paraId="62D922DA" w14:textId="77777777">
        <w:trPr>
          <w:trHeight w:val="199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E1E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69E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CC7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EA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рік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6B7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AE42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2028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р.</w:t>
            </w: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BF99" w14:textId="77777777" w:rsidR="00130118" w:rsidRDefault="00130118" w:rsidP="008464F6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30118" w14:paraId="0A822A24" w14:textId="77777777">
        <w:trPr>
          <w:trHeight w:val="1104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EFF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D0B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7CB3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BC6C9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витрат                                                          грн.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F257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бюджету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ТГ</w:t>
            </w: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506C1D3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                      грн.</w:t>
            </w:r>
          </w:p>
        </w:tc>
        <w:tc>
          <w:tcPr>
            <w:tcW w:w="1337" w:type="dxa"/>
            <w:gridSpan w:val="2"/>
            <w:vAlign w:val="bottom"/>
          </w:tcPr>
          <w:p w14:paraId="5EA8C308" w14:textId="77777777" w:rsidR="00130118" w:rsidRDefault="002F4F21" w:rsidP="00846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  <w:r>
              <w:rPr>
                <w:rFonts w:eastAsia="Times New Roman" w:cs="Calibri"/>
                <w:noProof/>
                <w:color w:val="000000"/>
                <w:sz w:val="17"/>
                <w:szCs w:val="17"/>
              </w:rPr>
              <w:drawing>
                <wp:anchor distT="0" distB="0" distL="0" distR="0" simplePos="0" relativeHeight="251659264" behindDoc="0" locked="0" layoutInCell="0" allowOverlap="1" wp14:anchorId="6B0100D7" wp14:editId="208A3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692150</wp:posOffset>
                  </wp:positionV>
                  <wp:extent cx="803275" cy="10795"/>
                  <wp:effectExtent l="5080" t="5080" r="5080" b="5080"/>
                  <wp:wrapNone/>
                  <wp:docPr id="1" name="Прямая соединительная линия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1" name="Group 0"/>
                          <a:cNvGrpSpPr/>
                        </a:nvGrpSpPr>
                        <a:grpSpPr/>
                      </lc:lockedCanvas>
                    </a:graphicData>
                  </a:graphic>
                </wp:anchor>
              </w:drawing>
            </w:r>
          </w:p>
          <w:tbl>
            <w:tblPr>
              <w:tblW w:w="1240" w:type="dxa"/>
              <w:tblLayout w:type="fixed"/>
              <w:tblCellMar>
                <w:left w:w="0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130118" w14:paraId="6D447F64" w14:textId="77777777">
              <w:trPr>
                <w:trHeight w:val="1104"/>
              </w:trPr>
              <w:tc>
                <w:tcPr>
                  <w:tcW w:w="124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4EE8C5" w14:textId="77777777" w:rsidR="00130118" w:rsidRDefault="002F4F21" w:rsidP="008464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у тому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числі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кошти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 бюджету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Ніжинської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  <w:lang w:val="uk-UA"/>
                    </w:rPr>
                    <w:t>М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7"/>
                      <w:szCs w:val="17"/>
                    </w:rPr>
                    <w:t>ТГ</w:t>
                  </w:r>
                </w:p>
              </w:tc>
            </w:tr>
          </w:tbl>
          <w:p w14:paraId="77D81783" w14:textId="77777777" w:rsidR="00130118" w:rsidRDefault="00130118" w:rsidP="00846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380AE3E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Обсяг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витрат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                                                                          грн.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D6746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у тому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кошти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 бюджету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ТГ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736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53AD2B23" w14:textId="77777777">
        <w:trPr>
          <w:trHeight w:val="1184"/>
        </w:trPr>
        <w:tc>
          <w:tcPr>
            <w:tcW w:w="5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75F2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3A5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D3F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27F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727ECA7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        грн.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1AE910A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 грн.</w:t>
            </w: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CA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68621FBF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Загальн.фонд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          грн.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1768CAFD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 грн.</w:t>
            </w: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154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777CA4DF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Загальн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грн.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14:paraId="03CDF0AF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 фонд             грн.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BD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194C17E7" w14:textId="77777777">
        <w:trPr>
          <w:trHeight w:val="337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D23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Всього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програми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F9E638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01C27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856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8D498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190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BCAF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B73628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58C1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332 000,00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C86A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232 000,00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C794C2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A29E4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334 000,00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9E2444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  <w:t>234 000,00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E219D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057452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30118" w14:paraId="19519C23" w14:textId="77777777">
        <w:trPr>
          <w:trHeight w:val="1422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F8B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1. Участь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(в тому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числі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і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закордонних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спеціалізованих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симпозіумах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семінарах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конференціях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салонах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-ярмарках  з метою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вивчення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популяризації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новітніх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технологій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участь у 3 відповідних заходах  представників туристичної галузі громади 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2AEF" w14:textId="77777777" w:rsidR="00130118" w:rsidRPr="00E3532F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</w:pPr>
            <w:r w:rsidRPr="00E3532F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Бюджет Ніжинської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>МТГ</w:t>
            </w:r>
            <w:r w:rsidRPr="00E3532F">
              <w:rPr>
                <w:rFonts w:ascii="Times New Roman" w:eastAsia="Times New Roman" w:hAnsi="Times New Roman" w:cs="Times New Roman"/>
                <w:sz w:val="17"/>
                <w:szCs w:val="17"/>
                <w:lang w:val="uk-UA"/>
              </w:rPr>
              <w:t xml:space="preserve"> і кошти інших джерел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D89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AA1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E05A7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7BB494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749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4DB75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A41B74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E060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135 000,00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A5963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442E2A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BDD3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5D4B2D2B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9D70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транспортні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витрати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D0C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0CB7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788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1C204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DCC74E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C97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FC853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8E9F43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ADD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9A35D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119642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518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4573ACDE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A523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2.послуги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-методичного,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площ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F36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848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73B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7D9F6F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5A1846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230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E779A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38E0F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8F5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D1F2A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569A8D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01B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522FFB9F" w14:textId="77777777">
        <w:trPr>
          <w:trHeight w:val="1164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8822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соціологічного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опитування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підприємницької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пов’язаних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організацією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відпочинку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подорожей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запланована кількість респондентів - 1 тис. осіб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3EC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CAC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3D5D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A14A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006BB2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6D6CE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AB7E9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254ED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4C1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DEA7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C8FA0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9EBF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43FADB1" w14:textId="77777777">
        <w:trPr>
          <w:trHeight w:val="35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F4BB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канцтоварів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опитування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67F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A49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BBE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6D436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BF2F3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38C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C9EDA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B0366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FEF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9CB19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494A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1B5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82A9550" w14:textId="77777777">
        <w:trPr>
          <w:trHeight w:val="8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32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пакету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розповсюдження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серед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кампаній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налагодження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системної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співпраці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залучення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екскурсантів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5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, виготовлення інформаційних тек - 100 примірників (папки, блокноти, бейджі, інформаційні листи, тощо).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5F0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45F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0373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FE8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AA9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5D82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2DDF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E9C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8FD1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24A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CA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1633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23C9EC6F" w14:textId="77777777">
        <w:trPr>
          <w:trHeight w:val="3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28C2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565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4CD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393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813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A583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956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66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85E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141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23F4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20C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5E8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389EB0CF" w14:textId="77777777">
        <w:trPr>
          <w:trHeight w:val="3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292E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3.2.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8EC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EDB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7BD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CD30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869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857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A63B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F4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F21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A8D6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E7F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E0D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39998D8E" w14:textId="77777777">
        <w:trPr>
          <w:trHeight w:val="35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D63B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3.3. 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закупівля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канцтоварів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тек</w:t>
            </w: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7E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333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2A4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C1F49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69104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6F0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8B17E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1762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741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D564BB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8633A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744D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088759B4" w14:textId="77777777">
        <w:trPr>
          <w:trHeight w:val="6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4E10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паспорт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сформувати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банк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розроблення 6 паспортів на туристичні об</w:t>
            </w:r>
            <w:r w:rsidRPr="00E3532F">
              <w:rPr>
                <w:rFonts w:ascii="Times New Roman" w:hAnsi="Times New Roman" w:cs="Times New Roman"/>
                <w:sz w:val="17"/>
                <w:szCs w:val="17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єкти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громади, оформлення 1 туристичного паспорту громади.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8E9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C58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37645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2CCD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988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5326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9AF8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DE7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5EBF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A0C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B1C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ED53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BCFB689" w14:textId="77777777">
        <w:trPr>
          <w:trHeight w:val="9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BFB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кольорового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каталогу-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путівника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друк 100 примірників каталогу</w:t>
            </w: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81D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C16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60 000,00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8005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B9C1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FFE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EBC7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073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36FB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E241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B8B8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544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A45A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048B2813" w14:textId="77777777">
        <w:trPr>
          <w:trHeight w:val="87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533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схеми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схеми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пунктів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сервісу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туристично-рекламних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зонах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встановлення 10 схем туристичних об</w:t>
            </w:r>
            <w:r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єктів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8EDE5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F3E3D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7909E6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7D7F04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7E9AB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02254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5D545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783F0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16D1B3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79811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11AE6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D54C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6E9629D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0E15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аудіогіда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українською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англійською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мовами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можливістю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інтерактивного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. Р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езультативні показники: запис 2 варіантів оновленого двомовного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аудіогіда</w:t>
            </w:r>
            <w:proofErr w:type="spellEnd"/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229C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E96B38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C31876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E4DE5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4F1AA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BEC8BF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280AD3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4066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E6C81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97851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A39C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E80A8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241555E" w14:textId="77777777">
        <w:trPr>
          <w:trHeight w:val="912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55B" w14:textId="77777777" w:rsidR="00130118" w:rsidRDefault="002F4F21" w:rsidP="008464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 Провести роботу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випуску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рекламно-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продукції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потенціал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показники:.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3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</w:p>
          <w:p w14:paraId="2C9B0BDF" w14:textId="77777777" w:rsidR="00130118" w:rsidRDefault="00130118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2E9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789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4C1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E4E54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3C7CE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478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57C8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A7980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FC22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47E67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61927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99C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2C50D457" w14:textId="77777777">
        <w:trPr>
          <w:trHeight w:val="31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42E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58E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11E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9F4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31A196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10F12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249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57525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8CBEE1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1C6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2882F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6F4FD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99A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2213FDED" w14:textId="77777777">
        <w:trPr>
          <w:trHeight w:val="397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B13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8.2. 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2B7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BE2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E62B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AD0FC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3C36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118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CCC8E7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4423B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804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5A27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9 000,00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06E50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4A8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6F4ED890" w14:textId="77777777">
        <w:trPr>
          <w:trHeight w:val="589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1B0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9. Установка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табличок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застосуванням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QR-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основних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об’єктах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інфраструктури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виготовлення та встановлення 25 табличок із застосуванням QR-кодів</w:t>
            </w:r>
          </w:p>
        </w:tc>
        <w:tc>
          <w:tcPr>
            <w:tcW w:w="146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41FFE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right w:val="single" w:sz="4" w:space="0" w:color="000000"/>
            </w:tcBorders>
            <w:vAlign w:val="center"/>
          </w:tcPr>
          <w:p w14:paraId="52037AF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75 000,00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91302B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F1C4AD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12FFA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5BB12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469DD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224E7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2A2E9B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4AF3A8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25 000,00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725DE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895A0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3902AF1D" w14:textId="77777777">
        <w:trPr>
          <w:trHeight w:val="37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459" w14:textId="77777777" w:rsidR="00130118" w:rsidRDefault="002F4F21" w:rsidP="008464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фестивалів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, проведення виставок, творчих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пленерів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позитивного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іміджу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підтримки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ініціатив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підвищення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привабливості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друк грамот та подяк учасникам, придбання сувенірів, квітів та призів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учасиникам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(в залежності від кількості учасників), друк оголошень про проведення заходів. </w:t>
            </w:r>
          </w:p>
          <w:p w14:paraId="59CEA3DF" w14:textId="77777777" w:rsidR="00130118" w:rsidRDefault="00130118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717E2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vAlign w:val="center"/>
          </w:tcPr>
          <w:p w14:paraId="080247D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8FA6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AD2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361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CFE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855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8CE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C5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12 000,00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E0B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365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30E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35B4E606" w14:textId="77777777">
        <w:trPr>
          <w:trHeight w:val="28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B0EC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оголошень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запрошень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грамот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дипломів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41FD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vAlign w:val="center"/>
          </w:tcPr>
          <w:p w14:paraId="1B46F16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78B8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9496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1BB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A0B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05B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366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3AC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8A5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A96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1D3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7777E86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4C8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10.2.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подарунки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сувеніри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96A1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vAlign w:val="center"/>
          </w:tcPr>
          <w:p w14:paraId="6BD73A2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DE256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4D0454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AC01A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365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D8825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0C1C7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EBA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7D106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EB475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9B1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1638516A" w14:textId="77777777">
        <w:trPr>
          <w:trHeight w:val="90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D676" w14:textId="77777777" w:rsidR="00130118" w:rsidRDefault="002F4F21" w:rsidP="008464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маршрутів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урахуванням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історико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краєзнавчої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літературно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мистецтвознавчої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історико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етнічної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сфер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виготовлення 4 макетів роздаткового матеріалу, друк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роздаткованого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матеріалу - понад 4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тис.примірників</w:t>
            </w:r>
            <w:proofErr w:type="spellEnd"/>
          </w:p>
          <w:p w14:paraId="65594967" w14:textId="77777777" w:rsidR="00130118" w:rsidRDefault="00130118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DAC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960E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4C6F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824C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BF3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057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269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24D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7E1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EE94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512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E1A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13594AB0" w14:textId="77777777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FF6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11.1. 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виготовленню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макетів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D556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15F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20C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C0B8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3CD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2EB4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2DA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ED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EA4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4ACE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B6B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C03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153CE991" w14:textId="77777777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FEB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11.2. 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роздаткового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матеріалу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баннерів</w:t>
            </w:r>
            <w:proofErr w:type="spellEnd"/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252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C98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AFD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1FF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689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129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3175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2B3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FBC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F0F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14 000,00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AD2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185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BB88093" w14:textId="77777777">
        <w:trPr>
          <w:trHeight w:val="2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292E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12.Забезпечити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складову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час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всеукраїнських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обласних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культурно-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мистецьких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конкурсів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фестивалів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Покровський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ярмарок»,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Ритми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планети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Сесія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», «У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передзвоні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…»,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Седнівська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осінь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Седнів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Качанівські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музи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Качанівка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Вересаєве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свято»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Сокиринці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Коровель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» (с.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Шестовиця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Поліське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коло» (м.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Чернігів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Київська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русь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»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смт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Любеч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Обласне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козацьке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свято» (м. Батурин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),  "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Mamont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fest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"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с.Оболоння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тощо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участь у 4 відповідних заходах  представників туристичної галузі громади.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AAD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FD5A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0 000,00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2EFA" w14:textId="77777777" w:rsidR="00130118" w:rsidRDefault="00130118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F90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62A9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447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6B7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6CC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D3B4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30 000,00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F9B6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A61D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51C3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46062D00" w14:textId="77777777">
        <w:trPr>
          <w:trHeight w:val="28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8654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12.1 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транспортні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витрати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95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2C3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59D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DC1E6A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B87A0C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A4B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CF0A2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43AF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678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D70A4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2726EF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31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53528042" w14:textId="77777777">
        <w:trPr>
          <w:trHeight w:val="56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3070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12.2.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організаційно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-методичного,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 та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оренди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виставкових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площ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437E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F65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3EB2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101912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9E975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A93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0971AF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B5B2F5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5A99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275215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10 000,00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84D9CE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7613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22957F00" w14:textId="77777777">
        <w:trPr>
          <w:trHeight w:val="32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3726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Організувати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провести  заходи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дня туризму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показники:друк</w:t>
            </w:r>
            <w:proofErr w:type="spellEnd"/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 грамот та подяк учасникам, придбання сувенірів, квітів та призів (в залежності від кількості відзначених).</w:t>
            </w:r>
          </w:p>
        </w:tc>
        <w:tc>
          <w:tcPr>
            <w:tcW w:w="14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781C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392B4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15 000,00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D6A2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59FD7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5E68F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EDD3A6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DD742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BEB957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91407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E206B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2880D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49DD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7811FECF" w14:textId="77777777">
        <w:trPr>
          <w:trHeight w:val="300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5E310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оголошень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запрошень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грамот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дипломів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45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824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5E0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60D44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BD043C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341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3E680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C3E653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AE1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7079E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019E5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0A8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C6586CD" w14:textId="77777777">
        <w:trPr>
          <w:trHeight w:val="323"/>
        </w:trPr>
        <w:tc>
          <w:tcPr>
            <w:tcW w:w="5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19E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13.2. 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подарунки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сувеніри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учасникам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квіти</w:t>
            </w:r>
            <w:proofErr w:type="spellEnd"/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158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E06A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0138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BFC2D2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1C756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E7F0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96B6C9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38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EEFEB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313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00BAD1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4 000,00</w:t>
            </w:r>
          </w:p>
        </w:tc>
        <w:tc>
          <w:tcPr>
            <w:tcW w:w="4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0BAC9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977D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130118" w14:paraId="7A2B6E94" w14:textId="77777777">
        <w:trPr>
          <w:trHeight w:val="59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51FE" w14:textId="77777777" w:rsidR="00130118" w:rsidRDefault="002F4F21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постійному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оновленню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електронної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ресурсів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територіальної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>Результативні показники: оновлення відповідної  е-бази двічі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704B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99C0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256E8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DB4C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C45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B76B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4DFA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B3BF2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A1B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47594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5 000,00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5EC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C2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  <w:tr w:rsidR="00130118" w14:paraId="628CCCE0" w14:textId="77777777">
        <w:trPr>
          <w:trHeight w:val="85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2D7B" w14:textId="77777777" w:rsidR="00130118" w:rsidRDefault="002F4F21" w:rsidP="008464F6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Зйомка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рекламних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фільмів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з метою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поширення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туристичної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привабливості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громади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засоби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масової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17"/>
                <w:szCs w:val="17"/>
                <w:lang w:val="uk-UA"/>
              </w:rPr>
              <w:t xml:space="preserve">Результативні показники: розробка та розміщення 4 продуктів інформаційного відео-контенту </w:t>
            </w:r>
          </w:p>
          <w:p w14:paraId="3F63C27E" w14:textId="77777777" w:rsidR="00130118" w:rsidRDefault="00130118" w:rsidP="0084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</w:p>
        </w:tc>
        <w:tc>
          <w:tcPr>
            <w:tcW w:w="14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92A8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Бюджет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uk-UA"/>
              </w:rPr>
              <w:t>МТГ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2CD9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000,00</w:t>
            </w:r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5679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C5166" w14:textId="77777777" w:rsidR="00130118" w:rsidRDefault="00130118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903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9558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403C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33E1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4921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9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B63B5" w14:textId="77777777" w:rsidR="00130118" w:rsidRDefault="002F4F21" w:rsidP="0084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20 000,00</w:t>
            </w:r>
          </w:p>
        </w:tc>
        <w:tc>
          <w:tcPr>
            <w:tcW w:w="4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062B" w14:textId="77777777" w:rsidR="00130118" w:rsidRDefault="00130118" w:rsidP="0084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2A3A5" w14:textId="77777777" w:rsidR="00130118" w:rsidRDefault="002F4F21" w:rsidP="0084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культури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і туризму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Ніжинської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ради</w:t>
            </w:r>
          </w:p>
        </w:tc>
      </w:tr>
    </w:tbl>
    <w:p w14:paraId="4E9CA8B5" w14:textId="77777777" w:rsidR="00130118" w:rsidRDefault="00130118" w:rsidP="0084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30118">
      <w:pgSz w:w="16838" w:h="11906" w:orient="landscape"/>
      <w:pgMar w:top="1418" w:right="567" w:bottom="567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0872" w14:textId="77777777" w:rsidR="00C164EF" w:rsidRDefault="00C164EF">
      <w:pPr>
        <w:spacing w:line="240" w:lineRule="auto"/>
      </w:pPr>
      <w:r>
        <w:separator/>
      </w:r>
    </w:p>
  </w:endnote>
  <w:endnote w:type="continuationSeparator" w:id="0">
    <w:p w14:paraId="4289EC9D" w14:textId="77777777" w:rsidR="00C164EF" w:rsidRDefault="00C16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0FE1" w14:textId="77777777" w:rsidR="00C164EF" w:rsidRDefault="00C164EF">
      <w:pPr>
        <w:spacing w:after="0"/>
      </w:pPr>
      <w:r>
        <w:separator/>
      </w:r>
    </w:p>
  </w:footnote>
  <w:footnote w:type="continuationSeparator" w:id="0">
    <w:p w14:paraId="235E26D2" w14:textId="77777777" w:rsidR="00C164EF" w:rsidRDefault="00C164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C9F97EB9"/>
    <w:multiLevelType w:val="singleLevel"/>
    <w:tmpl w:val="C9F97EB9"/>
    <w:lvl w:ilvl="0">
      <w:start w:val="6"/>
      <w:numFmt w:val="decimal"/>
      <w:suff w:val="space"/>
      <w:lvlText w:val="%1."/>
      <w:lvlJc w:val="left"/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53208E"/>
    <w:multiLevelType w:val="multilevel"/>
    <w:tmpl w:val="0053208E"/>
    <w:lvl w:ilvl="0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D62ECE"/>
    <w:multiLevelType w:val="multilevel"/>
    <w:tmpl w:val="03D62EC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ADCABA"/>
    <w:multiLevelType w:val="multilevel"/>
    <w:tmpl w:val="59ADCABA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183CF9"/>
    <w:multiLevelType w:val="multilevel"/>
    <w:tmpl w:val="72183CF9"/>
    <w:lvl w:ilvl="0">
      <w:start w:val="1"/>
      <w:numFmt w:val="bullet"/>
      <w:lvlText w:val="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118"/>
    <w:rsid w:val="00130118"/>
    <w:rsid w:val="00165D27"/>
    <w:rsid w:val="002F4F21"/>
    <w:rsid w:val="00352BCE"/>
    <w:rsid w:val="003C7580"/>
    <w:rsid w:val="00497A9E"/>
    <w:rsid w:val="008464F6"/>
    <w:rsid w:val="008D2887"/>
    <w:rsid w:val="00A25F10"/>
    <w:rsid w:val="00B66A31"/>
    <w:rsid w:val="00BD4366"/>
    <w:rsid w:val="00C164EF"/>
    <w:rsid w:val="00E3532F"/>
    <w:rsid w:val="060D5D37"/>
    <w:rsid w:val="080D7560"/>
    <w:rsid w:val="0D3216B4"/>
    <w:rsid w:val="10E217F5"/>
    <w:rsid w:val="110E3319"/>
    <w:rsid w:val="14DD385B"/>
    <w:rsid w:val="15340D83"/>
    <w:rsid w:val="18D65589"/>
    <w:rsid w:val="1A961EAB"/>
    <w:rsid w:val="1BB42637"/>
    <w:rsid w:val="1C851183"/>
    <w:rsid w:val="1C8B122A"/>
    <w:rsid w:val="1ECA6345"/>
    <w:rsid w:val="340145E2"/>
    <w:rsid w:val="343A3100"/>
    <w:rsid w:val="367C455C"/>
    <w:rsid w:val="376D78A1"/>
    <w:rsid w:val="37FB2BE8"/>
    <w:rsid w:val="38047C88"/>
    <w:rsid w:val="39263B23"/>
    <w:rsid w:val="3B265CF7"/>
    <w:rsid w:val="3BCC6CF6"/>
    <w:rsid w:val="3BFA35D6"/>
    <w:rsid w:val="3C40033E"/>
    <w:rsid w:val="3D66234A"/>
    <w:rsid w:val="3DED4ED7"/>
    <w:rsid w:val="48EA36C9"/>
    <w:rsid w:val="51A105FC"/>
    <w:rsid w:val="53207924"/>
    <w:rsid w:val="54A42A7D"/>
    <w:rsid w:val="559F1D86"/>
    <w:rsid w:val="5C26425B"/>
    <w:rsid w:val="5DE01011"/>
    <w:rsid w:val="626F0385"/>
    <w:rsid w:val="63B1544D"/>
    <w:rsid w:val="64E642BD"/>
    <w:rsid w:val="66911854"/>
    <w:rsid w:val="67B251AF"/>
    <w:rsid w:val="6C41154E"/>
    <w:rsid w:val="6D0E0631"/>
    <w:rsid w:val="6F301751"/>
    <w:rsid w:val="6FF73A98"/>
    <w:rsid w:val="72115158"/>
    <w:rsid w:val="724D0D96"/>
    <w:rsid w:val="743F42D7"/>
    <w:rsid w:val="79542BD0"/>
    <w:rsid w:val="79A30139"/>
    <w:rsid w:val="7B4140AC"/>
    <w:rsid w:val="7B7779C9"/>
    <w:rsid w:val="7C3E30AD"/>
    <w:rsid w:val="7C4439A8"/>
    <w:rsid w:val="7D0A4B32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A2B9B"/>
  <w15:docId w15:val="{9F71F6BE-DFC4-43DA-8DAF-EBFF1E99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List"/>
    <w:basedOn w:val="a3"/>
    <w:qFormat/>
    <w:rPr>
      <w:rFonts w:cs="Lucida Sans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en-US"/>
    </w:rPr>
  </w:style>
  <w:style w:type="character" w:customStyle="1" w:styleId="a4">
    <w:name w:val="Основний текст Знак"/>
    <w:basedOn w:val="a0"/>
    <w:link w:val="a3"/>
    <w:qFormat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  <w:lang w:val="zh-CN" w:eastAsia="zh-CN" w:bidi="zh-CN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pPr>
      <w:suppressAutoHyphens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9C6CE-DA68-4B2C-A1EF-7E67E1AC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3004</Words>
  <Characters>17129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6</cp:revision>
  <cp:lastPrinted>2025-12-09T09:28:00Z</cp:lastPrinted>
  <dcterms:created xsi:type="dcterms:W3CDTF">2025-10-16T06:21:00Z</dcterms:created>
  <dcterms:modified xsi:type="dcterms:W3CDTF">2025-12-25T07:59:00Z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5960E063D45545DD9F9432D0F897461E_13</vt:lpwstr>
  </property>
  <property fmtid="{D5CDD505-2E9C-101B-9397-08002B2CF9AE}" pid="3" name="KSOProductBuildVer">
    <vt:lpwstr>1033-12.2.0.22549</vt:lpwstr>
  </property>
</Properties>
</file>