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5FAC" w14:textId="71D7DE97" w:rsidR="00787948" w:rsidRPr="00AB4AE1" w:rsidRDefault="00AB4AE1" w:rsidP="00AB4AE1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6A638A5">
          <v:rect id="Рамка1" o:spid="_x0000_s1026" style="position:absolute;left:0;text-align:left;margin-left:523.8pt;margin-top:6.7pt;width:15.65pt;height:8.45pt;z-index:251657728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" strokecolor="white" strokeweight="0">
            <v:textbox>
              <w:txbxContent>
                <w:p w14:paraId="62D8DB6D" w14:textId="77777777" w:rsidR="00787948" w:rsidRDefault="00787948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</w:p>
    <w:p w14:paraId="2D83135D" w14:textId="33136E6E" w:rsidR="00787948" w:rsidRPr="00AB4AE1" w:rsidRDefault="00AB4AE1" w:rsidP="00AB4AE1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</w:p>
    <w:p w14:paraId="188AB460" w14:textId="77777777" w:rsidR="00787948" w:rsidRPr="00AB4AE1" w:rsidRDefault="00787948" w:rsidP="00AB4AE1">
      <w:pPr>
        <w:pStyle w:val="ae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B6033CF" w14:textId="77777777" w:rsidR="00787948" w:rsidRPr="00AB4AE1" w:rsidRDefault="00787948" w:rsidP="00AB4AE1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101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11"/>
        <w:gridCol w:w="4940"/>
      </w:tblGrid>
      <w:tr w:rsidR="00AB4AE1" w:rsidRPr="00AB4AE1" w14:paraId="7B3AF8DC" w14:textId="77777777">
        <w:tc>
          <w:tcPr>
            <w:tcW w:w="5210" w:type="dxa"/>
          </w:tcPr>
          <w:tbl>
            <w:tblPr>
              <w:tblW w:w="10155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10155"/>
            </w:tblGrid>
            <w:tr w:rsidR="00AB4AE1" w:rsidRPr="00AB4AE1" w14:paraId="79D232A5" w14:textId="77777777">
              <w:tc>
                <w:tcPr>
                  <w:tcW w:w="10155" w:type="dxa"/>
                </w:tcPr>
                <w:p w14:paraId="04B0484C" w14:textId="77777777" w:rsidR="00787948" w:rsidRPr="00AB4AE1" w:rsidRDefault="00787948" w:rsidP="00AB4AE1">
                  <w:pPr>
                    <w:tabs>
                      <w:tab w:val="left" w:pos="6096"/>
                      <w:tab w:val="left" w:pos="6379"/>
                      <w:tab w:val="left" w:pos="10206"/>
                    </w:tabs>
                    <w:spacing w:after="0" w:line="240" w:lineRule="auto"/>
                    <w:ind w:right="2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</w:tr>
            <w:tr w:rsidR="00AB4AE1" w:rsidRPr="00AB4AE1" w14:paraId="323CA94C" w14:textId="77777777">
              <w:tc>
                <w:tcPr>
                  <w:tcW w:w="10155" w:type="dxa"/>
                </w:tcPr>
                <w:p w14:paraId="0FEDD623" w14:textId="77777777" w:rsidR="00787948" w:rsidRPr="00AB4AE1" w:rsidRDefault="00787948" w:rsidP="00AB4AE1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</w:tr>
          </w:tbl>
          <w:p w14:paraId="5C37A55F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0" w:type="dxa"/>
          </w:tcPr>
          <w:p w14:paraId="5DD00267" w14:textId="77777777" w:rsidR="00787948" w:rsidRPr="00AB4AE1" w:rsidRDefault="00AB4AE1" w:rsidP="00AB4AE1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Додаток  5</w:t>
            </w:r>
          </w:p>
          <w:p w14:paraId="0FF921E8" w14:textId="77777777" w:rsidR="00787948" w:rsidRPr="00AB4AE1" w:rsidRDefault="00AB4AE1" w:rsidP="00AB4AE1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до рішення Ніжинської міської ради</w:t>
            </w:r>
          </w:p>
          <w:p w14:paraId="639677C1" w14:textId="77777777" w:rsidR="00787948" w:rsidRPr="00AB4AE1" w:rsidRDefault="00AB4AE1" w:rsidP="00AB4AE1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Чернігівської області </w:t>
            </w:r>
            <w:r w:rsidRPr="00AB4AE1">
              <w:rPr>
                <w:rFonts w:ascii="Times New Roman" w:hAnsi="Times New Roman"/>
                <w:sz w:val="24"/>
                <w:szCs w:val="24"/>
                <w:lang w:val="uk-UA" w:eastAsia="ar-SA"/>
              </w:rPr>
              <w:t>VIII</w:t>
            </w: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скликання</w:t>
            </w:r>
          </w:p>
          <w:p w14:paraId="1E7D02FA" w14:textId="77777777" w:rsidR="00787948" w:rsidRPr="00AB4AE1" w:rsidRDefault="00AB4AE1" w:rsidP="00AB4AE1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від 24.12.2025 року № 5-52/2025</w:t>
            </w:r>
          </w:p>
          <w:p w14:paraId="3CE7FED2" w14:textId="77777777" w:rsidR="00787948" w:rsidRPr="00AB4AE1" w:rsidRDefault="00AB4AE1" w:rsidP="00AB4AE1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(зі змінами від 13 лютого 2026 №</w:t>
            </w:r>
            <w:r w:rsidRPr="00AB4AE1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11-53/2026</w:t>
            </w: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298555D8" w14:textId="77777777" w:rsidR="00787948" w:rsidRPr="00AB4AE1" w:rsidRDefault="00787948" w:rsidP="00AB4AE1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06A155F" w14:textId="77777777" w:rsidR="00787948" w:rsidRPr="00AB4AE1" w:rsidRDefault="00AB4AE1" w:rsidP="00AB4A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>Міська цільова Програма фінансової підтримки комунального некомерційного підприємства «Ніжинська центральна міська лікарня імені Миколи Гал</w:t>
      </w:r>
      <w:r w:rsidRPr="00AB4AE1">
        <w:rPr>
          <w:rFonts w:ascii="Times New Roman" w:hAnsi="Times New Roman"/>
          <w:b/>
          <w:sz w:val="24"/>
          <w:szCs w:val="24"/>
          <w:lang w:val="uk-UA"/>
        </w:rPr>
        <w:t>ицького» Ніжинської міської ради Чернігівської області на 2026 р</w:t>
      </w:r>
      <w:bookmarkStart w:id="0" w:name="_Hlk98323885"/>
      <w:bookmarkEnd w:id="0"/>
      <w:r w:rsidRPr="00AB4AE1">
        <w:rPr>
          <w:rFonts w:ascii="Times New Roman" w:hAnsi="Times New Roman"/>
          <w:b/>
          <w:sz w:val="24"/>
          <w:szCs w:val="24"/>
          <w:lang w:val="uk-UA"/>
        </w:rPr>
        <w:t>ік</w:t>
      </w:r>
    </w:p>
    <w:p w14:paraId="6626AA37" w14:textId="77777777" w:rsidR="00787948" w:rsidRPr="00AB4AE1" w:rsidRDefault="00AB4AE1" w:rsidP="00AB4AE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І. Паспорт програми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3965"/>
        <w:gridCol w:w="5674"/>
      </w:tblGrid>
      <w:tr w:rsidR="00AB4AE1" w:rsidRPr="00AB4AE1" w14:paraId="540128D4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44E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CDB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59A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ЦМЛ ім. М. Галицького»</w:t>
            </w:r>
          </w:p>
        </w:tc>
      </w:tr>
      <w:tr w:rsidR="00AB4AE1" w:rsidRPr="00AB4AE1" w14:paraId="65321D7F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3C95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0BBA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Законодавча  база програми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21D" w14:textId="77777777" w:rsidR="00787948" w:rsidRPr="00AB4AE1" w:rsidRDefault="00AB4AE1" w:rsidP="00AB4AE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Бюджетний кодекс України, Закон України «Про місцеве 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самоврядування в Україні» від 21.05.1997р. №280/97-ВР, «Основи законодавства України про охорону здоров’я» від 19.11.1992 р. №2801-Х11, Закон України «Про державні фінансові гарантії медичного обслуговування населення» від 19.10.2017 р. №2168-У111</w:t>
            </w: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 У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країни «Про захист населення від інфекційних хвороб» від 06.04.2000 р. №1645-111/зі змінами/ наказ МОЗ №595 від 16.09.2011 «Про порядок проведення профілактичних щеплень в Україні та контроль якості й обігу медичних і імунобіологічних препаратів»</w:t>
            </w:r>
          </w:p>
          <w:p w14:paraId="3524F0AE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Постанова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Кабінету Міністрів України  від 05.07.2024р №779  "Про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ття та окремі заходи з підтримки осіб, які захищали незалежність , суверенітет та теріториальну цілісність України" зі змінами</w:t>
            </w:r>
          </w:p>
        </w:tc>
      </w:tr>
      <w:tr w:rsidR="00AB4AE1" w:rsidRPr="00AB4AE1" w14:paraId="6FD34D86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8C9E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06D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D613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ЦМЛ ім. М. Галицького»</w:t>
            </w:r>
          </w:p>
        </w:tc>
      </w:tr>
      <w:tr w:rsidR="00AB4AE1" w:rsidRPr="00AB4AE1" w14:paraId="19C46464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F77B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EF72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002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Ніжинської міської ради</w:t>
            </w:r>
          </w:p>
        </w:tc>
      </w:tr>
      <w:tr w:rsidR="00AB4AE1" w:rsidRPr="00AB4AE1" w14:paraId="25F16724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06F4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8213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Відповідальні виконавці програми (учасники програми)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F06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ЦМЛ ім. М. Галицького»</w:t>
            </w:r>
          </w:p>
        </w:tc>
      </w:tr>
      <w:tr w:rsidR="00AB4AE1" w:rsidRPr="00AB4AE1" w14:paraId="00EB6E14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A160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BCCA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DDA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2026 рік</w:t>
            </w:r>
          </w:p>
        </w:tc>
      </w:tr>
      <w:tr w:rsidR="00AB4AE1" w:rsidRPr="00AB4AE1" w14:paraId="3C2C94FE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B7F3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6.1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D871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Етапи виконання програми</w:t>
            </w:r>
          </w:p>
          <w:p w14:paraId="4C3F5352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AB4AE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для довгострокових програм)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5CB0" w14:textId="77777777" w:rsidR="00787948" w:rsidRPr="00AB4AE1" w:rsidRDefault="00787948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B4AE1" w:rsidRPr="00AB4AE1" w14:paraId="37370745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B1F0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F99D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Загальний обсяг фінансових ресурсів, в т.ч. кредиторська заборгованість минулих періодів, необхідних для реалізації програми, всього, гривень у </w:t>
            </w:r>
            <w:r w:rsidRPr="00AB4AE1">
              <w:rPr>
                <w:rFonts w:ascii="Times New Roman" w:hAnsi="Times New Roman"/>
                <w:spacing w:val="-6"/>
                <w:sz w:val="20"/>
                <w:szCs w:val="20"/>
                <w:lang w:val="uk-UA"/>
              </w:rPr>
              <w:t>тому числі: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C310" w14:textId="77777777" w:rsidR="00787948" w:rsidRPr="00AB4AE1" w:rsidRDefault="00AB4AE1" w:rsidP="00AB4AE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2026 р. –128 196 800</w:t>
            </w:r>
            <w:r w:rsidRPr="00AB4AE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,00 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2F1E4482" w14:textId="77777777" w:rsidR="00787948" w:rsidRPr="00AB4AE1" w:rsidRDefault="00787948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B4AE1" w:rsidRPr="00AB4AE1" w14:paraId="7C745BB8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A5F3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7.1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4AD9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Кошти  бюджету Ніжинської МТГ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2C10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2026 р. – 127 727 900,00грн.</w:t>
            </w:r>
          </w:p>
        </w:tc>
      </w:tr>
      <w:tr w:rsidR="00AB4AE1" w:rsidRPr="00AB4AE1" w14:paraId="610E18E6" w14:textId="77777777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8FFE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7.2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758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ошти  інших джерел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B464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468 900,00</w:t>
            </w:r>
          </w:p>
        </w:tc>
      </w:tr>
    </w:tbl>
    <w:p w14:paraId="05E7502F" w14:textId="77777777" w:rsidR="00787948" w:rsidRPr="00AB4AE1" w:rsidRDefault="00AB4AE1" w:rsidP="00AB4A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>ІІ. Визначення проблем,  на розв’язання яких спрямована програма</w:t>
      </w:r>
    </w:p>
    <w:p w14:paraId="15FBDC7D" w14:textId="77777777" w:rsidR="00787948" w:rsidRPr="00AB4AE1" w:rsidRDefault="00AB4AE1" w:rsidP="00AB4A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Одним з основних напрямків завдань органів виконавчої влади та місцевого самоврядування є створення умов для ефективного та доступного для всіх </w:t>
      </w:r>
      <w:r w:rsidRPr="00AB4AE1">
        <w:rPr>
          <w:rFonts w:ascii="Times New Roman" w:hAnsi="Times New Roman"/>
          <w:sz w:val="24"/>
          <w:szCs w:val="24"/>
          <w:lang w:val="uk-UA"/>
        </w:rPr>
        <w:t>громадян медичного обслуговування.</w:t>
      </w:r>
    </w:p>
    <w:p w14:paraId="7A4670D6" w14:textId="77777777" w:rsidR="00787948" w:rsidRPr="00AB4AE1" w:rsidRDefault="00AB4AE1" w:rsidP="00AB4AE1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допомоги.</w:t>
      </w:r>
    </w:p>
    <w:p w14:paraId="7B63C23E" w14:textId="77777777" w:rsidR="00787948" w:rsidRPr="00AB4AE1" w:rsidRDefault="00AB4AE1" w:rsidP="00AB4AE1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Відповідно до Концепції реформи фінансува</w:t>
      </w:r>
      <w:r w:rsidRPr="00AB4AE1">
        <w:rPr>
          <w:rFonts w:ascii="Times New Roman" w:hAnsi="Times New Roman"/>
          <w:sz w:val="24"/>
          <w:szCs w:val="24"/>
          <w:lang w:val="uk-UA"/>
        </w:rPr>
        <w:t>ння системи охорони здоров’я України, схваленої розпорядженням Кабінету Міністрів України від 30 листопада 2016 р. № 1013, та згідно Закону України «Про державні фінансові гарантії медичного обслуговування населення» від 19.10.2017р. №2168-VIII, одним з ос</w:t>
      </w:r>
      <w:r w:rsidRPr="00AB4AE1">
        <w:rPr>
          <w:rFonts w:ascii="Times New Roman" w:hAnsi="Times New Roman"/>
          <w:sz w:val="24"/>
          <w:szCs w:val="24"/>
          <w:lang w:val="uk-UA"/>
        </w:rPr>
        <w:t>новних стратегічних завдань реформи охорони здоров’я є створення та запровадження нової моделі фінансування, яка передбачає чіткі та прозорі гарантії держави щодо обсягу безоплатної медичної допомоги, кращий фінансовий захист громадян у випадку хвороби, еф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ективний та справедливий розподіл публічних коштів та скорочення неформальних платежів, створення стимулів до поліпшення якості надання медичної допомоги населенню державними і комунальними закладами охорони здоров’я (ЗОЗ). </w:t>
      </w:r>
    </w:p>
    <w:p w14:paraId="3D1FB225" w14:textId="77777777" w:rsidR="00787948" w:rsidRPr="00AB4AE1" w:rsidRDefault="00AB4AE1" w:rsidP="00AB4AE1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lastRenderedPageBreak/>
        <w:t>Концепцією визначено, що держав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допомоги, що базується на пріоритетах охорони </w:t>
      </w:r>
    </w:p>
    <w:p w14:paraId="04020565" w14:textId="77777777" w:rsidR="00787948" w:rsidRPr="00AB4AE1" w:rsidRDefault="00AB4AE1" w:rsidP="00AB4A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здоров’я, враховує поточний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 економічний стан і можливості держави та фінансується з урахуванням положень ст.95 Конституції України.</w:t>
      </w:r>
    </w:p>
    <w:p w14:paraId="5C959FE6" w14:textId="77777777" w:rsidR="00787948" w:rsidRPr="00AB4AE1" w:rsidRDefault="00AB4AE1" w:rsidP="00AB4AE1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Згідно зі статтею 32 Закону України «Про місцеве самоврядування», до повноважень місцевого самоврядування організація матеріально-технічного та фінансо</w:t>
      </w:r>
      <w:r w:rsidRPr="00AB4AE1">
        <w:rPr>
          <w:rFonts w:ascii="Times New Roman" w:hAnsi="Times New Roman"/>
          <w:sz w:val="24"/>
          <w:szCs w:val="24"/>
          <w:lang w:val="uk-UA"/>
        </w:rPr>
        <w:t>вого забезпечення, забезпечення в межах наданих повноважень доступності і безоплатності медичного обслуговування на відповідній території, а також розвиток усіх видів медичного обслуговування, зокрема мережі закладів охорони здоров’я та сприяння підготовці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 й підвищенню кваліфікації спеціалістів.</w:t>
      </w:r>
    </w:p>
    <w:p w14:paraId="73241AD6" w14:textId="77777777" w:rsidR="00787948" w:rsidRPr="00AB4AE1" w:rsidRDefault="00AB4AE1" w:rsidP="00AB4AE1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  <w:lang w:val="uk-UA"/>
        </w:rPr>
      </w:pP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>Також внаслідок повномасштабної збройної агресії російської федерації проти України, суттєво зросла кількість військовослужбовців, які брали безпосередню участь у бойових діях, та демобілізованих осіб, які повертают</w:t>
      </w: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 xml:space="preserve">ься до мирного життя. Ці люди часто стикаються з труднощами соціальної адаптації, психологічними травмами, порушенням психоемоційного стану, проблемами з фізичним та психічним здоров’ям, тому виникає питання щодо введення в штатний розпис установи фахівця </w:t>
      </w: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 xml:space="preserve">із супроводу </w:t>
      </w:r>
      <w:r w:rsidRPr="00AB4AE1">
        <w:rPr>
          <w:rFonts w:ascii="Times New Roman" w:hAnsi="Times New Roman"/>
          <w:sz w:val="24"/>
          <w:szCs w:val="24"/>
          <w:lang w:val="uk-UA"/>
        </w:rPr>
        <w:t>ветеранів війни та демобілізованих осіб</w:t>
      </w: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>.</w:t>
      </w:r>
    </w:p>
    <w:p w14:paraId="1C39B3C6" w14:textId="77777777" w:rsidR="00787948" w:rsidRPr="00AB4AE1" w:rsidRDefault="00AB4AE1" w:rsidP="00AB4AE1">
      <w:pPr>
        <w:spacing w:after="0" w:line="240" w:lineRule="auto"/>
        <w:ind w:firstLine="840"/>
        <w:jc w:val="center"/>
        <w:rPr>
          <w:rFonts w:ascii="Times New Roman" w:hAnsi="Times New Roman"/>
          <w:sz w:val="24"/>
          <w:szCs w:val="24"/>
          <w:lang w:val="uk-UA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>ІІІ. Визначення мети програми</w:t>
      </w:r>
    </w:p>
    <w:p w14:paraId="6CB27B02" w14:textId="77777777" w:rsidR="00787948" w:rsidRPr="00AB4AE1" w:rsidRDefault="00AB4AE1" w:rsidP="00AB4AE1">
      <w:pPr>
        <w:pStyle w:val="1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Метою програми є об’єднання зусиль органів місцевого самоврядування, виконавчої влади, керівника підприємства для забезпечення фінансового ресурсу по наданню населенню вто</w:t>
      </w:r>
      <w:r w:rsidRPr="00AB4AE1">
        <w:rPr>
          <w:rFonts w:ascii="Times New Roman" w:hAnsi="Times New Roman"/>
          <w:sz w:val="24"/>
          <w:szCs w:val="24"/>
          <w:lang w:val="uk-UA"/>
        </w:rPr>
        <w:t>ринної медичної допомоги та медичних послуг, спрямованих на збереження, поліпшення та відновлення здоров’я населення міської територіальної громади в напрямку підвищення стандартів життя, модернізації та зміцнення матеріально-технічної бази, поліпшення умо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в праці медичних працівників, що допоможе </w:t>
      </w:r>
      <w:r w:rsidRPr="00AB4AE1">
        <w:rPr>
          <w:rFonts w:ascii="Times New Roman" w:hAnsi="Times New Roman"/>
          <w:sz w:val="24"/>
          <w:szCs w:val="24"/>
          <w:lang w:val="uk-UA" w:eastAsia="uk-UA"/>
        </w:rPr>
        <w:t>з</w:t>
      </w:r>
      <w:r w:rsidRPr="00AB4AE1">
        <w:rPr>
          <w:rFonts w:ascii="Times New Roman" w:hAnsi="Times New Roman"/>
          <w:sz w:val="24"/>
          <w:szCs w:val="24"/>
          <w:lang w:val="uk-UA"/>
        </w:rPr>
        <w:t>абезпечити населення якісними медичними послугами.</w:t>
      </w:r>
    </w:p>
    <w:p w14:paraId="1625F1E4" w14:textId="77777777" w:rsidR="00787948" w:rsidRPr="00AB4AE1" w:rsidRDefault="00AB4AE1" w:rsidP="00AB4AE1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Створення умов безпечного материнства; формування репродуктивного здоров'я у дітей та молоді, збереження репродуктивного здоров'я населення територіальної громади</w:t>
      </w:r>
      <w:r w:rsidRPr="00AB4AE1">
        <w:rPr>
          <w:rFonts w:ascii="Times New Roman" w:hAnsi="Times New Roman"/>
          <w:sz w:val="24"/>
          <w:szCs w:val="24"/>
          <w:lang w:val="uk-UA"/>
        </w:rPr>
        <w:t>.</w:t>
      </w:r>
    </w:p>
    <w:p w14:paraId="48BD7C8A" w14:textId="77777777" w:rsidR="00787948" w:rsidRPr="00AB4AE1" w:rsidRDefault="00AB4AE1" w:rsidP="00AB4AE1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Запобігання розвитку у людей таких небезпечних хвороб, як сказ (має 100 % летальність) та правець, шляхом забезпечення профілактичних заходів.</w:t>
      </w:r>
    </w:p>
    <w:p w14:paraId="285F8344" w14:textId="77777777" w:rsidR="00787948" w:rsidRPr="00AB4AE1" w:rsidRDefault="00AB4AE1" w:rsidP="00AB4AE1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надання підтримки ветеранам війни та демобілізованим особам через реалізацію заходів соціального супроводу та психологічної допомоги, що здійснюється комунальним некомерційним підприємством. </w:t>
      </w:r>
    </w:p>
    <w:p w14:paraId="4D8F52C2" w14:textId="77777777" w:rsidR="00787948" w:rsidRPr="00AB4AE1" w:rsidRDefault="00AB4AE1" w:rsidP="00AB4AE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>ІV. Обгрунтування шляхів  і засобів розв’язання пр</w:t>
      </w:r>
      <w:r w:rsidRPr="00AB4AE1">
        <w:rPr>
          <w:rFonts w:ascii="Times New Roman" w:hAnsi="Times New Roman"/>
          <w:b/>
          <w:sz w:val="24"/>
          <w:szCs w:val="24"/>
          <w:lang w:val="uk-UA"/>
        </w:rPr>
        <w:t>облеми, обсягів та джерел фінансування, строки виконання Програми</w:t>
      </w:r>
    </w:p>
    <w:p w14:paraId="0E66CA66" w14:textId="77777777" w:rsidR="00787948" w:rsidRPr="00AB4AE1" w:rsidRDefault="00AB4AE1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Фінансування </w:t>
      </w: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Програми </w:t>
      </w:r>
      <w:r w:rsidRPr="00AB4AE1">
        <w:rPr>
          <w:rFonts w:ascii="Times New Roman" w:hAnsi="Times New Roman"/>
          <w:sz w:val="24"/>
          <w:szCs w:val="24"/>
          <w:lang w:val="uk-UA"/>
        </w:rPr>
        <w:t>протягом 2026 року здійснюватиметься у межах асигнувань, передбачених на охорону здоров’я в бюджеті Ніжинської міської територіальної громади та інших бюджетів не забор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онених законодавством. </w:t>
      </w:r>
    </w:p>
    <w:p w14:paraId="186F7071" w14:textId="77777777" w:rsidR="00787948" w:rsidRPr="00AB4AE1" w:rsidRDefault="00AB4AE1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громади, бюджетів інших територіальних громад України, інші джерела фінансув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ання не заборонені чинним законодавством України, населенню яких надаватиметься вторинна медична допомога та медичні послуги, спрямовані на збереження, поліпшення та відновлення здоров’я населення, населенню яких надаватиметься </w:t>
      </w:r>
      <w:r w:rsidRPr="00AB4AE1">
        <w:rPr>
          <w:rFonts w:ascii="Times New Roman" w:hAnsi="Times New Roman"/>
          <w:sz w:val="24"/>
          <w:szCs w:val="24"/>
          <w:lang w:val="uk-UA"/>
        </w:rPr>
        <w:t>спеціалізована амбулаторно -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 поліклінічна і стаціонарна допомога за напрямком «Акушерство та гінекологія»</w:t>
      </w:r>
      <w:r w:rsidRPr="00AB4AE1">
        <w:rPr>
          <w:rFonts w:ascii="Times New Roman" w:hAnsi="Times New Roman"/>
          <w:sz w:val="24"/>
          <w:szCs w:val="24"/>
          <w:lang w:val="uk-UA"/>
        </w:rPr>
        <w:t>.</w:t>
      </w:r>
    </w:p>
    <w:p w14:paraId="06395A2C" w14:textId="77777777" w:rsidR="00787948" w:rsidRPr="00AB4AE1" w:rsidRDefault="00AB4AE1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 Головним розпорядником коштів за даною бюджетною програмою є Виконавчий комітет Ніжинської міської ради Чернігівської області, в мережі якого у статусі одержувача є комунальне 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некомерційне підприємство «Ніжинська центральна міська лікарня імені Миколи Галицького» Ніжинської міської ради Чернігівської області. </w:t>
      </w:r>
    </w:p>
    <w:p w14:paraId="61450986" w14:textId="77777777" w:rsidR="00787948" w:rsidRPr="00AB4AE1" w:rsidRDefault="00AB4AE1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Одержувач бюджетних коштів за даною бюджетною програмою (комунальне некомерційне підприємство «Ніжинська центральна місь</w:t>
      </w:r>
      <w:r w:rsidRPr="00AB4AE1">
        <w:rPr>
          <w:rFonts w:ascii="Times New Roman" w:hAnsi="Times New Roman"/>
          <w:sz w:val="24"/>
          <w:szCs w:val="24"/>
          <w:lang w:val="uk-UA"/>
        </w:rPr>
        <w:t>ка лікарня імені Миколи Галицького» Ніжинської міської ради Чернігівської області) здійснює їх використання згідно Плану використання бюджетних коштів, складеного та затвердженого у встановленому порядку. Виконання Програми передбачено на 2026 рік.</w:t>
      </w:r>
    </w:p>
    <w:p w14:paraId="308B34B8" w14:textId="77777777" w:rsidR="00787948" w:rsidRPr="00AB4AE1" w:rsidRDefault="00AB4AE1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>Для роз</w:t>
      </w: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 xml:space="preserve">в’язання проблеми недостатньої підтримки осіб, які брали участь у бойових діях, необхідне створення сталої, доступної та професійної системи індивідуального соціального та психологічного супроводу ветеранів війни. Оптимальним шляхом досягнення цієї мети є </w:t>
      </w: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 xml:space="preserve">залучення в заклад фахівців із </w:t>
      </w:r>
      <w:r w:rsidRPr="00AB4AE1">
        <w:rPr>
          <w:rFonts w:ascii="Times New Roman" w:hAnsi="Times New Roman"/>
          <w:sz w:val="24"/>
          <w:szCs w:val="24"/>
          <w:lang w:val="uk-UA"/>
        </w:rPr>
        <w:t>супроводу ветеранів війни та демобілізованих осіб</w:t>
      </w:r>
      <w:r w:rsidRPr="00AB4AE1">
        <w:rPr>
          <w:rStyle w:val="fadeinm1hgl8"/>
          <w:rFonts w:ascii="Times New Roman" w:hAnsi="Times New Roman"/>
          <w:sz w:val="24"/>
          <w:szCs w:val="24"/>
          <w:lang w:val="uk-UA"/>
        </w:rPr>
        <w:t>та досвід у роботі з вразливими категоріями населення.</w:t>
      </w:r>
    </w:p>
    <w:p w14:paraId="677244EB" w14:textId="77777777" w:rsidR="00787948" w:rsidRPr="00AB4AE1" w:rsidRDefault="00787948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CACF8D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bCs/>
          <w:sz w:val="24"/>
          <w:szCs w:val="24"/>
          <w:lang w:val="uk-UA"/>
        </w:rPr>
        <w:t>V. Напрями діяльності, перелік завдань і заходів програми та результативні показники</w:t>
      </w:r>
    </w:p>
    <w:p w14:paraId="70892870" w14:textId="77777777" w:rsidR="00787948" w:rsidRPr="00AB4AE1" w:rsidRDefault="00AB4AE1" w:rsidP="00AB4A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Основними завданнями Міської </w:t>
      </w:r>
      <w:r w:rsidRPr="00AB4AE1">
        <w:rPr>
          <w:rFonts w:ascii="Times New Roman" w:hAnsi="Times New Roman"/>
          <w:sz w:val="24"/>
          <w:szCs w:val="24"/>
          <w:lang w:val="uk-UA"/>
        </w:rPr>
        <w:t>цільової  Програми фінансової підтримки комунального некомерційного підприємства «Ніжинська центральна міська лікарня імені Миколи Галицького» Ніжинської міської  територіальної громади на 2026 р.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 є :</w:t>
      </w:r>
    </w:p>
    <w:p w14:paraId="58E1572F" w14:textId="77777777" w:rsidR="00787948" w:rsidRPr="00AB4AE1" w:rsidRDefault="00AB4AE1" w:rsidP="00AB4AE1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збереження і покращення здоров’я населення;</w:t>
      </w:r>
    </w:p>
    <w:p w14:paraId="57DA81B6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надання кон</w:t>
      </w:r>
      <w:r w:rsidRPr="00AB4AE1">
        <w:rPr>
          <w:rFonts w:ascii="Times New Roman" w:hAnsi="Times New Roman"/>
          <w:sz w:val="24"/>
          <w:szCs w:val="24"/>
          <w:lang w:val="uk-UA"/>
        </w:rPr>
        <w:t>сультацій, проведення діагностики, лікування, реабілітації та профілактики  найбільш поширених хвороб, травм, отруєнь, фізіологічних (під час вагітності) станів;</w:t>
      </w:r>
    </w:p>
    <w:p w14:paraId="74AF0293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надання послуг вторинної /спеціалізованої/стаціонарної медичної допомоги, в тому числі екстрен</w:t>
      </w:r>
      <w:r w:rsidRPr="00AB4AE1">
        <w:rPr>
          <w:rFonts w:ascii="Times New Roman" w:hAnsi="Times New Roman"/>
          <w:sz w:val="24"/>
          <w:szCs w:val="24"/>
          <w:lang w:val="uk-UA"/>
        </w:rPr>
        <w:t>ої /невідкладної/ медичної допомоги  пацієнтам необхідної для забезпечення належної профілактики, діагностики і лікування хвороб, травм, отруєнь чи інших розладів здоров’я;</w:t>
      </w:r>
    </w:p>
    <w:p w14:paraId="7902AAF9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надання спеціалізованої амбулаторної медичної допомоги;</w:t>
      </w:r>
    </w:p>
    <w:p w14:paraId="7666101C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організація взаємодії з інш</w:t>
      </w:r>
      <w:r w:rsidRPr="00AB4AE1">
        <w:rPr>
          <w:rFonts w:ascii="Times New Roman" w:hAnsi="Times New Roman"/>
          <w:sz w:val="24"/>
          <w:szCs w:val="24"/>
          <w:lang w:val="uk-UA"/>
        </w:rPr>
        <w:t>ими закладами охорони здоров’я з метою забезпечення наступництва у наданні 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здоров’я пацієнта;</w:t>
      </w:r>
    </w:p>
    <w:p w14:paraId="4484F38A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проведення експер</w:t>
      </w:r>
      <w:r w:rsidRPr="00AB4AE1">
        <w:rPr>
          <w:rFonts w:ascii="Times New Roman" w:hAnsi="Times New Roman"/>
          <w:sz w:val="24"/>
          <w:szCs w:val="24"/>
          <w:lang w:val="uk-UA"/>
        </w:rPr>
        <w:t>тизи тимчасової непрацездатності та контролю за видачею документів, які засвідчують тимчасову  непрацездатність, відбір пацієнтів на санаторно-курортне та реабілітаційне лікування;</w:t>
      </w:r>
    </w:p>
    <w:p w14:paraId="3B7FC83B" w14:textId="77777777" w:rsidR="00787948" w:rsidRPr="00AB4AE1" w:rsidRDefault="00AB4AE1" w:rsidP="00AB4AE1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забезпечення своєчасного визначення показань для призначення профілактичних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 щеплень проти сказу та правця;</w:t>
      </w:r>
    </w:p>
    <w:p w14:paraId="303143C5" w14:textId="77777777" w:rsidR="00787948" w:rsidRPr="00AB4AE1" w:rsidRDefault="00AB4AE1" w:rsidP="00AB4AE1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гарантування підтримки системи охорони здоров’я в галузі протидії захворювання на сказ та правець, забезпечення адекватним та стабільним фінансуванням;</w:t>
      </w:r>
    </w:p>
    <w:p w14:paraId="6D01A937" w14:textId="77777777" w:rsidR="00787948" w:rsidRPr="00AB4AE1" w:rsidRDefault="00AB4AE1" w:rsidP="00AB4AE1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регулярне забезпечення відповідно потреби, адекватне </w:t>
      </w:r>
      <w:r w:rsidRPr="00AB4AE1">
        <w:rPr>
          <w:rFonts w:ascii="Times New Roman" w:hAnsi="Times New Roman"/>
          <w:sz w:val="24"/>
          <w:szCs w:val="24"/>
          <w:lang w:val="uk-UA"/>
        </w:rPr>
        <w:t>управління та використання препаратів;</w:t>
      </w:r>
    </w:p>
    <w:p w14:paraId="73C59C36" w14:textId="77777777" w:rsidR="00787948" w:rsidRPr="00AB4AE1" w:rsidRDefault="00AB4AE1" w:rsidP="00AB4AE1">
      <w:pPr>
        <w:pStyle w:val="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забезпечення моніторингу та оцінки ефективності і результативності програмних заходів.</w:t>
      </w:r>
    </w:p>
    <w:p w14:paraId="7F06BFEB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покращення рівня громадського здоров’я  внаслідок проведення заходів з імунопрофілактики населення;</w:t>
      </w:r>
    </w:p>
    <w:p w14:paraId="40FDA7C3" w14:textId="77777777" w:rsidR="00787948" w:rsidRPr="00AB4AE1" w:rsidRDefault="00AB4AE1" w:rsidP="00AB4AE1">
      <w:pPr>
        <w:pStyle w:val="af"/>
        <w:widowControl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забезпечення дотримання норм</w:t>
      </w:r>
      <w:r w:rsidRPr="00AB4AE1">
        <w:rPr>
          <w:rFonts w:ascii="Times New Roman" w:hAnsi="Times New Roman"/>
          <w:sz w:val="24"/>
          <w:szCs w:val="24"/>
          <w:lang w:val="uk-UA"/>
        </w:rPr>
        <w:t>ативів, норм, стандартів, порядків і правил при наданні медичних послуг;</w:t>
      </w:r>
    </w:p>
    <w:p w14:paraId="5E19B463" w14:textId="77777777" w:rsidR="00787948" w:rsidRPr="00AB4AE1" w:rsidRDefault="00AB4AE1" w:rsidP="00AB4AE1">
      <w:pPr>
        <w:pStyle w:val="af"/>
        <w:widowControl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формування у населення навичок здорового способу життя;</w:t>
      </w:r>
    </w:p>
    <w:p w14:paraId="1B2A1DEC" w14:textId="77777777" w:rsidR="00787948" w:rsidRPr="00AB4AE1" w:rsidRDefault="00AB4AE1" w:rsidP="00AB4AE1">
      <w:pPr>
        <w:pStyle w:val="af"/>
        <w:widowControl w:val="0"/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забезпечення належної л</w:t>
      </w:r>
      <w:r w:rsidRPr="00AB4AE1">
        <w:rPr>
          <w:rFonts w:ascii="Times New Roman" w:hAnsi="Times New Roman"/>
          <w:sz w:val="24"/>
          <w:szCs w:val="24"/>
          <w:lang w:val="uk-UA"/>
        </w:rPr>
        <w:t>ікарсько-акушерської допомоги вагітним, породіллям, новонародженим та медичної допомоги гінекологічн</w:t>
      </w:r>
      <w:r w:rsidRPr="00AB4AE1">
        <w:rPr>
          <w:rFonts w:ascii="Times New Roman" w:hAnsi="Times New Roman"/>
          <w:sz w:val="24"/>
          <w:szCs w:val="24"/>
          <w:lang w:val="uk-UA"/>
        </w:rPr>
        <w:t>им хворим;</w:t>
      </w:r>
    </w:p>
    <w:p w14:paraId="39CAA60D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</w:p>
    <w:p w14:paraId="2E5106DB" w14:textId="77777777" w:rsidR="00787948" w:rsidRPr="00AB4AE1" w:rsidRDefault="00AB4AE1" w:rsidP="00AB4AE1">
      <w:pPr>
        <w:pStyle w:val="af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інші завдання, визначені чинними нормативно-право</w:t>
      </w:r>
      <w:r w:rsidRPr="00AB4AE1">
        <w:rPr>
          <w:rFonts w:ascii="Times New Roman" w:hAnsi="Times New Roman"/>
          <w:sz w:val="24"/>
          <w:szCs w:val="24"/>
          <w:lang w:val="uk-UA"/>
        </w:rPr>
        <w:t>вими актами.</w:t>
      </w:r>
    </w:p>
    <w:p w14:paraId="7580D9FE" w14:textId="77777777" w:rsidR="00787948" w:rsidRPr="00AB4AE1" w:rsidRDefault="00AB4AE1" w:rsidP="00AB4AE1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Очікуваними результатами виконання є :</w:t>
      </w:r>
    </w:p>
    <w:p w14:paraId="6B37EEB1" w14:textId="77777777" w:rsidR="00787948" w:rsidRPr="00AB4AE1" w:rsidRDefault="00AB4AE1" w:rsidP="00AB4AE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гарантована можливість надання  населенню належної вторинної медичної допомоги;</w:t>
      </w:r>
    </w:p>
    <w:p w14:paraId="5BCCDB3C" w14:textId="77777777" w:rsidR="00787948" w:rsidRPr="00AB4AE1" w:rsidRDefault="00AB4AE1" w:rsidP="00AB4AE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- своєчасне виявлення ризиків виникнення хронічних захворювань  та запобігання ускладненому перебігу захворювань;  </w:t>
      </w:r>
    </w:p>
    <w:p w14:paraId="5D036C07" w14:textId="77777777" w:rsidR="00787948" w:rsidRPr="00AB4AE1" w:rsidRDefault="00AB4AE1" w:rsidP="00AB4AE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підв</w:t>
      </w:r>
      <w:r w:rsidRPr="00AB4AE1">
        <w:rPr>
          <w:rFonts w:ascii="Times New Roman" w:hAnsi="Times New Roman"/>
          <w:sz w:val="24"/>
          <w:szCs w:val="24"/>
          <w:lang w:val="uk-UA"/>
        </w:rPr>
        <w:t>ищення ефективності роботи закладу;</w:t>
      </w:r>
    </w:p>
    <w:p w14:paraId="67544393" w14:textId="77777777" w:rsidR="00787948" w:rsidRPr="00AB4AE1" w:rsidRDefault="00AB4AE1" w:rsidP="00AB4AE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забезпечення збереження та подальше зміцнення матеріально-технічної бази, її модернізація;</w:t>
      </w:r>
    </w:p>
    <w:p w14:paraId="26B141FC" w14:textId="77777777" w:rsidR="00787948" w:rsidRPr="00AB4AE1" w:rsidRDefault="00AB4AE1" w:rsidP="00AB4AE1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- покращення оснащення. </w:t>
      </w:r>
    </w:p>
    <w:p w14:paraId="793D2361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 метою забезпечення населення вторинною медичною допомогою в межах П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рограми </w:t>
      </w:r>
      <w:r w:rsidRPr="00AB4AE1">
        <w:rPr>
          <w:rFonts w:ascii="Times New Roman" w:hAnsi="Times New Roman"/>
          <w:sz w:val="24"/>
          <w:szCs w:val="24"/>
          <w:lang w:val="uk-UA"/>
        </w:rPr>
        <w:t>передбачається здійснення заходів:</w:t>
      </w:r>
    </w:p>
    <w:p w14:paraId="39834157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 оплата праці працівників (в т.ч. посадові оклади, обов’язкові виплати, стимулюючі доплати, надбавки, премії, матеріальна допомога, тощо);</w:t>
      </w:r>
    </w:p>
    <w:p w14:paraId="7B6E7F3E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оплата та нарахування на фонд оплати праці єдиного внеску на загальнообов’язко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ве державне соціальне страхування, його перерахування до бюджету; </w:t>
      </w:r>
    </w:p>
    <w:p w14:paraId="59146927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оплата праці з нарахуванням  фахівця  із супроводу ветеранів війни та демобілізованих осіб</w:t>
      </w:r>
    </w:p>
    <w:p w14:paraId="7F12F247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оплата відрядних лікарям-інтернам;</w:t>
      </w:r>
    </w:p>
    <w:p w14:paraId="14E58A54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придбання лікарських та діагностичних засобів,  медикамен</w:t>
      </w:r>
      <w:r w:rsidRPr="00AB4AE1">
        <w:rPr>
          <w:rFonts w:ascii="Times New Roman" w:hAnsi="Times New Roman"/>
          <w:sz w:val="24"/>
          <w:szCs w:val="24"/>
          <w:lang w:val="uk-UA"/>
        </w:rPr>
        <w:t>тів, медичного інструментарію, медичних матеріалів та інших виробів медичного призначення;</w:t>
      </w:r>
    </w:p>
    <w:p w14:paraId="44F867CC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- оплата за енергоносії та оплата послуг по вивозу та захороненню твердих побутових </w:t>
      </w:r>
    </w:p>
    <w:p w14:paraId="08B2C831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відходів;</w:t>
      </w:r>
    </w:p>
    <w:p w14:paraId="4DB6B36D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-оплата за енергосервіс;</w:t>
      </w:r>
    </w:p>
    <w:p w14:paraId="750E3C34" w14:textId="77777777" w:rsidR="00787948" w:rsidRPr="00AB4AE1" w:rsidRDefault="00AB4AE1" w:rsidP="00AB4AE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lastRenderedPageBreak/>
        <w:t>- придбання інших предметів, матеріалів, обла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днання, інвентарю та оплата інших робіт і послуг, необхідних для виконання комунальним некомерційним підприємством завдань відповідно до Статуту; </w:t>
      </w:r>
    </w:p>
    <w:p w14:paraId="3E288E67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оплата пільгових пенсій за розрахунками Пенсійного фонду;</w:t>
      </w:r>
    </w:p>
    <w:p w14:paraId="34EBD478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оплата капітальних видатків на придбання медичн</w:t>
      </w:r>
      <w:r w:rsidRPr="00AB4AE1">
        <w:rPr>
          <w:rFonts w:ascii="Times New Roman" w:hAnsi="Times New Roman"/>
          <w:sz w:val="24"/>
          <w:szCs w:val="24"/>
          <w:lang w:val="uk-UA"/>
        </w:rPr>
        <w:t>их обладнань, іншого обладнання;</w:t>
      </w:r>
    </w:p>
    <w:p w14:paraId="5642CB45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 оплата послуг (крім комунальних) в тому числі: оплата послуг по поточному ремонту; поточного ремонту - заміна віконних блоків на металопластикові в хірургічному відділенні №2 по вул. Академіка Амосова, 1, встановлення пож</w:t>
      </w:r>
      <w:r w:rsidRPr="00AB4AE1">
        <w:rPr>
          <w:rFonts w:ascii="Times New Roman" w:hAnsi="Times New Roman"/>
          <w:sz w:val="24"/>
          <w:szCs w:val="24"/>
          <w:lang w:val="uk-UA"/>
        </w:rPr>
        <w:t>ежної сигналізації; оплата послуг по технічному обслуговуванню техніки; оплата послуг по страхуванню згідно чинного законодавства; оплата послуг з проведення навчань персоналу; тощо.</w:t>
      </w:r>
    </w:p>
    <w:p w14:paraId="5B7D0170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-інші поточні видатки, земельний податок.</w:t>
      </w:r>
    </w:p>
    <w:p w14:paraId="65AD0AB0" w14:textId="77777777" w:rsidR="00787948" w:rsidRPr="00AB4AE1" w:rsidRDefault="00AB4AE1" w:rsidP="00AB4AE1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-проведення </w:t>
      </w:r>
      <w:r w:rsidRPr="00AB4AE1">
        <w:rPr>
          <w:rFonts w:ascii="Times New Roman" w:hAnsi="Times New Roman"/>
          <w:sz w:val="24"/>
          <w:szCs w:val="24"/>
          <w:lang w:val="uk-UA"/>
        </w:rPr>
        <w:t>капітальних ремонтів та модернізацій (в тому числі проектно-кошторисна документація).</w:t>
      </w:r>
    </w:p>
    <w:p w14:paraId="3A7FFC72" w14:textId="77777777" w:rsidR="00787948" w:rsidRPr="00AB4AE1" w:rsidRDefault="00AB4AE1" w:rsidP="00AB4A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В тому числі у розрізі завдань :</w:t>
      </w:r>
    </w:p>
    <w:p w14:paraId="55DF5F73" w14:textId="77777777" w:rsidR="00787948" w:rsidRPr="00AB4AE1" w:rsidRDefault="00AB4AE1" w:rsidP="00AB4AE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Завдання №1 Забезпечення надання вторинної медичної допомоги, в тому числі </w:t>
      </w:r>
      <w:r w:rsidRPr="00AB4AE1">
        <w:rPr>
          <w:rStyle w:val="a8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  <w:lang w:val="uk-UA"/>
        </w:rPr>
        <w:t>лікарсько-акушерська допомога вагітним, породіллям та новонар</w:t>
      </w:r>
      <w:r w:rsidRPr="00AB4AE1">
        <w:rPr>
          <w:rStyle w:val="a8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  <w:lang w:val="uk-UA"/>
        </w:rPr>
        <w:t>одженим</w:t>
      </w:r>
    </w:p>
    <w:p w14:paraId="755D96E4" w14:textId="77777777" w:rsidR="00787948" w:rsidRPr="00AB4AE1" w:rsidRDefault="00787948" w:rsidP="00AB4AE1">
      <w:pPr>
        <w:spacing w:after="0" w:line="240" w:lineRule="auto"/>
        <w:ind w:right="-5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tbl>
      <w:tblPr>
        <w:tblW w:w="6799" w:type="dxa"/>
        <w:tblInd w:w="1415" w:type="dxa"/>
        <w:tblLayout w:type="fixed"/>
        <w:tblLook w:val="00A0" w:firstRow="1" w:lastRow="0" w:firstColumn="1" w:lastColumn="0" w:noHBand="0" w:noVBand="0"/>
      </w:tblPr>
      <w:tblGrid>
        <w:gridCol w:w="4503"/>
        <w:gridCol w:w="2296"/>
      </w:tblGrid>
      <w:tr w:rsidR="00AB4AE1" w:rsidRPr="00AB4AE1" w14:paraId="269E51E5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29A0C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Напрямки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8385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AB4AE1" w:rsidRPr="00AB4AE1" w14:paraId="57D0E37E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88A19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Заробітна плата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94A3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12 780 000,00</w:t>
            </w:r>
          </w:p>
        </w:tc>
      </w:tr>
      <w:tr w:rsidR="00AB4AE1" w:rsidRPr="00AB4AE1" w14:paraId="5509F7D0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42E0C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Нарахування на оплату праці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2A99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2 570 000,00</w:t>
            </w:r>
          </w:p>
        </w:tc>
      </w:tr>
      <w:tr w:rsidR="00AB4AE1" w:rsidRPr="00AB4AE1" w14:paraId="23B22B36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C44B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A5D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530 500</w:t>
            </w:r>
          </w:p>
        </w:tc>
      </w:tr>
      <w:tr w:rsidR="00AB4AE1" w:rsidRPr="00AB4AE1" w14:paraId="0F6459C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7FFA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Медикаменти та перев'язувальні матеріали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46A1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4 573 800</w:t>
            </w:r>
          </w:p>
        </w:tc>
      </w:tr>
      <w:tr w:rsidR="00AB4AE1" w:rsidRPr="00AB4AE1" w14:paraId="020C1DE8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948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крім комунальних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3C09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1 050 000</w:t>
            </w:r>
          </w:p>
        </w:tc>
      </w:tr>
      <w:tr w:rsidR="00AB4AE1" w:rsidRPr="00AB4AE1" w14:paraId="7BDCC544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1D8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46AA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337 700</w:t>
            </w:r>
          </w:p>
        </w:tc>
      </w:tr>
      <w:tr w:rsidR="00AB4AE1" w:rsidRPr="00AB4AE1" w14:paraId="1775C566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B5EA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Оплата комунальних послуг та енергоносіїв, у т.ч.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7C7B9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27 156 900</w:t>
            </w:r>
          </w:p>
        </w:tc>
      </w:tr>
      <w:tr w:rsidR="00AB4AE1" w:rsidRPr="00AB4AE1" w14:paraId="37C4DF20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E95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Оплата теплопостачання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AA44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14 103700</w:t>
            </w:r>
          </w:p>
        </w:tc>
      </w:tr>
      <w:tr w:rsidR="00AB4AE1" w:rsidRPr="00AB4AE1" w14:paraId="6796EE7D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22C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Оплата водопостачання та водовідведення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39C5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1 689 600</w:t>
            </w:r>
          </w:p>
        </w:tc>
      </w:tr>
      <w:tr w:rsidR="00AB4AE1" w:rsidRPr="00AB4AE1" w14:paraId="10F35B09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2CE5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Оплата електроенергії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0DDA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9 398 800</w:t>
            </w:r>
          </w:p>
        </w:tc>
      </w:tr>
      <w:tr w:rsidR="00AB4AE1" w:rsidRPr="00AB4AE1" w14:paraId="19B98C08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1F0A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Оплата інших енергоносіїв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BA5E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619 800</w:t>
            </w:r>
          </w:p>
        </w:tc>
      </w:tr>
      <w:tr w:rsidR="00AB4AE1" w:rsidRPr="00AB4AE1" w14:paraId="7DD368C9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C740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Оплата енергосервісу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D2DF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1 345 000</w:t>
            </w:r>
          </w:p>
        </w:tc>
      </w:tr>
      <w:tr w:rsidR="00AB4AE1" w:rsidRPr="00AB4AE1" w14:paraId="7D2DEE97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D491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Пільгові пенсії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7BB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388 600</w:t>
            </w:r>
          </w:p>
        </w:tc>
      </w:tr>
      <w:tr w:rsidR="00AB4AE1" w:rsidRPr="00AB4AE1" w14:paraId="18E65BA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1901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28D6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sz w:val="24"/>
                <w:szCs w:val="24"/>
                <w:lang w:val="uk-UA"/>
              </w:rPr>
              <w:t>313 100</w:t>
            </w:r>
          </w:p>
        </w:tc>
      </w:tr>
      <w:tr w:rsidR="00AB4AE1" w:rsidRPr="00AB4AE1" w14:paraId="00B0F4D5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F60E" w14:textId="77777777" w:rsidR="00787948" w:rsidRPr="00AB4AE1" w:rsidRDefault="00AB4AE1" w:rsidP="00AB4AE1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5AB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A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49 700 600</w:t>
            </w:r>
          </w:p>
        </w:tc>
      </w:tr>
    </w:tbl>
    <w:p w14:paraId="05C0E1E9" w14:textId="77777777" w:rsidR="00787948" w:rsidRPr="00AB4AE1" w:rsidRDefault="00AB4AE1" w:rsidP="00AB4AE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Передані кошти та кошти бюджету розвитку</w:t>
      </w:r>
    </w:p>
    <w:tbl>
      <w:tblPr>
        <w:tblW w:w="10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8084"/>
        <w:gridCol w:w="1474"/>
      </w:tblGrid>
      <w:tr w:rsidR="00AB4AE1" w:rsidRPr="00AB4AE1" w14:paraId="5EB1151A" w14:textId="77777777" w:rsidTr="00AB4AE1">
        <w:tc>
          <w:tcPr>
            <w:tcW w:w="563" w:type="dxa"/>
          </w:tcPr>
          <w:p w14:paraId="53A752F4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8084" w:type="dxa"/>
          </w:tcPr>
          <w:p w14:paraId="55263407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474" w:type="dxa"/>
          </w:tcPr>
          <w:p w14:paraId="35A6E522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2026 рік</w:t>
            </w:r>
          </w:p>
        </w:tc>
      </w:tr>
      <w:tr w:rsidR="00AB4AE1" w:rsidRPr="00AB4AE1" w14:paraId="6C9C9754" w14:textId="77777777" w:rsidTr="00AB4AE1">
        <w:tc>
          <w:tcPr>
            <w:tcW w:w="563" w:type="dxa"/>
          </w:tcPr>
          <w:p w14:paraId="4A8378C9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084" w:type="dxa"/>
          </w:tcPr>
          <w:p w14:paraId="30BD97E7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Ремонт будівлі допоміжного корпусу по вул. Академіка Амосова, 1</w:t>
            </w:r>
          </w:p>
        </w:tc>
        <w:tc>
          <w:tcPr>
            <w:tcW w:w="1474" w:type="dxa"/>
          </w:tcPr>
          <w:p w14:paraId="74794D6F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8 000 000</w:t>
            </w:r>
          </w:p>
        </w:tc>
      </w:tr>
      <w:tr w:rsidR="00AB4AE1" w:rsidRPr="00AB4AE1" w14:paraId="29863658" w14:textId="77777777" w:rsidTr="00AB4AE1">
        <w:tc>
          <w:tcPr>
            <w:tcW w:w="563" w:type="dxa"/>
          </w:tcPr>
          <w:p w14:paraId="4E666308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084" w:type="dxa"/>
          </w:tcPr>
          <w:p w14:paraId="48F20AF0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Ремонт 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покрівлі поліклініки, блок А по вул. Прощенка Станіслава, 21А</w:t>
            </w:r>
          </w:p>
        </w:tc>
        <w:tc>
          <w:tcPr>
            <w:tcW w:w="1474" w:type="dxa"/>
          </w:tcPr>
          <w:p w14:paraId="089A7BA6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500 000</w:t>
            </w:r>
          </w:p>
        </w:tc>
      </w:tr>
      <w:tr w:rsidR="00AB4AE1" w:rsidRPr="00AB4AE1" w14:paraId="3C83A4BA" w14:textId="77777777" w:rsidTr="00AB4AE1">
        <w:tc>
          <w:tcPr>
            <w:tcW w:w="563" w:type="dxa"/>
          </w:tcPr>
          <w:p w14:paraId="1CDF99CC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084" w:type="dxa"/>
          </w:tcPr>
          <w:p w14:paraId="491BFA0E" w14:textId="77777777" w:rsidR="00787948" w:rsidRPr="00AB4AE1" w:rsidRDefault="00AB4AE1" w:rsidP="00AB4AE1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частини будівлі головного корпусу по вул..Академіка Амосова 1, під відділення реабілітації</w:t>
            </w:r>
          </w:p>
        </w:tc>
        <w:tc>
          <w:tcPr>
            <w:tcW w:w="1474" w:type="dxa"/>
          </w:tcPr>
          <w:p w14:paraId="5154C7D9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3 700 000</w:t>
            </w:r>
          </w:p>
        </w:tc>
      </w:tr>
      <w:tr w:rsidR="00AB4AE1" w:rsidRPr="00AB4AE1" w14:paraId="771E81C3" w14:textId="77777777" w:rsidTr="00AB4AE1">
        <w:tc>
          <w:tcPr>
            <w:tcW w:w="563" w:type="dxa"/>
          </w:tcPr>
          <w:p w14:paraId="215345B2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084" w:type="dxa"/>
          </w:tcPr>
          <w:p w14:paraId="12A57424" w14:textId="77777777" w:rsidR="00787948" w:rsidRPr="00AB4AE1" w:rsidRDefault="00AB4AE1" w:rsidP="00AB4AE1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Капітальний ремонт системи кисневої мережі </w:t>
            </w:r>
            <w:r w:rsidRPr="00AB4A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КНП "Ніжинська це</w:t>
            </w:r>
            <w:r w:rsidRPr="00AB4A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нтральна міська лікарня імені Миколи Галицького" за адресою: Чернігівська обл., м.  Ніжин вул. Прощенка Станіслава, 21</w:t>
            </w:r>
          </w:p>
        </w:tc>
        <w:tc>
          <w:tcPr>
            <w:tcW w:w="1474" w:type="dxa"/>
          </w:tcPr>
          <w:p w14:paraId="70653E93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750 000</w:t>
            </w:r>
          </w:p>
        </w:tc>
      </w:tr>
      <w:tr w:rsidR="00AB4AE1" w:rsidRPr="00AB4AE1" w14:paraId="0E6D1509" w14:textId="77777777" w:rsidTr="00AB4AE1">
        <w:tc>
          <w:tcPr>
            <w:tcW w:w="563" w:type="dxa"/>
          </w:tcPr>
          <w:p w14:paraId="6865197D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084" w:type="dxa"/>
          </w:tcPr>
          <w:p w14:paraId="098FAFCC" w14:textId="77777777" w:rsidR="00787948" w:rsidRPr="00AB4AE1" w:rsidRDefault="00AB4AE1" w:rsidP="00AB4AE1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Капітальний ремонт санвузлів головного корпусу </w:t>
            </w:r>
            <w:r w:rsidRPr="00AB4A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КНП "Ніжинська центральна міська лікарня імені Миколи Галицького" за </w:t>
            </w:r>
            <w:r w:rsidRPr="00AB4A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адресою: Чернігівська обл., м.  Ніжин вул. Прощенка Станіслава, 21</w:t>
            </w:r>
          </w:p>
        </w:tc>
        <w:tc>
          <w:tcPr>
            <w:tcW w:w="1474" w:type="dxa"/>
          </w:tcPr>
          <w:p w14:paraId="6857E159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900 000</w:t>
            </w:r>
          </w:p>
        </w:tc>
      </w:tr>
      <w:tr w:rsidR="00AB4AE1" w:rsidRPr="00AB4AE1" w14:paraId="5C6E33ED" w14:textId="77777777" w:rsidTr="00AB4AE1">
        <w:tc>
          <w:tcPr>
            <w:tcW w:w="563" w:type="dxa"/>
          </w:tcPr>
          <w:p w14:paraId="09CCBDDC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084" w:type="dxa"/>
          </w:tcPr>
          <w:p w14:paraId="0E9C4E42" w14:textId="77777777" w:rsidR="00787948" w:rsidRPr="00AB4AE1" w:rsidRDefault="00AB4AE1" w:rsidP="00AB4AE1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Капітальний ремонт інфекційного відділення </w:t>
            </w:r>
            <w:r w:rsidRPr="00AB4A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КНП "Ніжинська центральна міська лікарня імені Миколи Галицького" за адресою: Чернігівська обл., м.  Ніжин вул. Прощенка Станіслава, 21</w:t>
            </w:r>
            <w:r w:rsidRPr="00AB4A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та виготовлення ПКД</w:t>
            </w:r>
          </w:p>
        </w:tc>
        <w:tc>
          <w:tcPr>
            <w:tcW w:w="1474" w:type="dxa"/>
          </w:tcPr>
          <w:p w14:paraId="1D72E955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5 000 000</w:t>
            </w:r>
          </w:p>
        </w:tc>
      </w:tr>
      <w:tr w:rsidR="00AB4AE1" w:rsidRPr="00AB4AE1" w14:paraId="5202998A" w14:textId="77777777" w:rsidTr="00AB4AE1">
        <w:tc>
          <w:tcPr>
            <w:tcW w:w="563" w:type="dxa"/>
          </w:tcPr>
          <w:p w14:paraId="0ACAE0F8" w14:textId="77777777" w:rsidR="00787948" w:rsidRPr="00AB4AE1" w:rsidRDefault="00787948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084" w:type="dxa"/>
          </w:tcPr>
          <w:p w14:paraId="242543B7" w14:textId="77777777" w:rsidR="00787948" w:rsidRPr="00AB4AE1" w:rsidRDefault="00AB4AE1" w:rsidP="00AB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74" w:type="dxa"/>
          </w:tcPr>
          <w:p w14:paraId="44A3911B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18 850 000</w:t>
            </w:r>
          </w:p>
        </w:tc>
      </w:tr>
    </w:tbl>
    <w:p w14:paraId="48C93014" w14:textId="77777777" w:rsidR="00787948" w:rsidRPr="00AB4AE1" w:rsidRDefault="00AB4AE1" w:rsidP="00AB4AE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Усього по завданню №1           </w:t>
      </w:r>
      <w:r w:rsidRPr="00AB4AE1">
        <w:rPr>
          <w:rFonts w:ascii="Times New Roman" w:hAnsi="Times New Roman"/>
          <w:b/>
          <w:bCs/>
          <w:sz w:val="24"/>
          <w:szCs w:val="24"/>
          <w:lang w:val="uk-UA" w:eastAsia="ru-RU"/>
        </w:rPr>
        <w:t>68 550 600,00</w:t>
      </w:r>
      <w:r w:rsidRPr="00AB4AE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B4AE1">
        <w:rPr>
          <w:rFonts w:ascii="Times New Roman" w:hAnsi="Times New Roman"/>
          <w:b/>
          <w:sz w:val="24"/>
          <w:szCs w:val="24"/>
          <w:lang w:val="uk-UA"/>
        </w:rPr>
        <w:t>грн.</w:t>
      </w:r>
    </w:p>
    <w:p w14:paraId="69464D26" w14:textId="77777777" w:rsidR="00787948" w:rsidRPr="00AB4AE1" w:rsidRDefault="00787948" w:rsidP="00AB4AE1">
      <w:pPr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90A9B7F" w14:textId="77777777" w:rsidR="00787948" w:rsidRPr="00AB4AE1" w:rsidRDefault="00AB4AE1" w:rsidP="00AB4AE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>Завдання №2 Забезпечення імунопрофілактики інфекційних захворювань</w:t>
      </w:r>
    </w:p>
    <w:tbl>
      <w:tblPr>
        <w:tblW w:w="6430" w:type="dxa"/>
        <w:tblLayout w:type="fixed"/>
        <w:tblLook w:val="00A0" w:firstRow="1" w:lastRow="0" w:firstColumn="1" w:lastColumn="0" w:noHBand="0" w:noVBand="0"/>
      </w:tblPr>
      <w:tblGrid>
        <w:gridCol w:w="3392"/>
        <w:gridCol w:w="3038"/>
      </w:tblGrid>
      <w:tr w:rsidR="00AB4AE1" w:rsidRPr="00AB4AE1" w14:paraId="78ED48AA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C382B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Напрямки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C15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AB4AE1" w:rsidRPr="00AB4AE1" w14:paraId="6311FB77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993F3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Медикаменти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A43A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482 600,00</w:t>
            </w:r>
          </w:p>
        </w:tc>
      </w:tr>
      <w:tr w:rsidR="00AB4AE1" w:rsidRPr="00AB4AE1" w14:paraId="3BB8AE3E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8FF7D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lastRenderedPageBreak/>
              <w:t>Разом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088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482 600,00</w:t>
            </w:r>
          </w:p>
        </w:tc>
      </w:tr>
    </w:tbl>
    <w:p w14:paraId="37015C63" w14:textId="77777777" w:rsidR="00787948" w:rsidRPr="00AB4AE1" w:rsidRDefault="00AB4AE1" w:rsidP="00AB4AE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Усього по завданню №2            482 600,00 грн. </w:t>
      </w:r>
    </w:p>
    <w:p w14:paraId="636B53F0" w14:textId="77777777" w:rsidR="00787948" w:rsidRPr="00AB4AE1" w:rsidRDefault="00AB4AE1" w:rsidP="00AB4A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Завдання 3 Забезпечення придбання пріоритетного медичного обладнання та виробів медичного призначення на 2026 рік по відділенням </w:t>
      </w:r>
      <w:r w:rsidRPr="00AB4AE1">
        <w:rPr>
          <w:rFonts w:ascii="Times New Roman" w:hAnsi="Times New Roman"/>
          <w:b/>
          <w:bCs/>
          <w:sz w:val="24"/>
          <w:szCs w:val="24"/>
          <w:lang w:val="uk-UA"/>
        </w:rPr>
        <w:t xml:space="preserve">58 694 700,00 </w:t>
      </w:r>
      <w:r w:rsidRPr="00AB4AE1">
        <w:rPr>
          <w:rFonts w:ascii="Times New Roman" w:hAnsi="Times New Roman"/>
          <w:b/>
          <w:sz w:val="24"/>
          <w:szCs w:val="24"/>
          <w:lang w:val="uk-UA"/>
        </w:rPr>
        <w:t>грн</w:t>
      </w:r>
    </w:p>
    <w:tbl>
      <w:tblPr>
        <w:tblW w:w="1129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3"/>
        <w:gridCol w:w="17"/>
        <w:gridCol w:w="7924"/>
        <w:gridCol w:w="1226"/>
        <w:gridCol w:w="1705"/>
      </w:tblGrid>
      <w:tr w:rsidR="00AB4AE1" w:rsidRPr="00AB4AE1" w14:paraId="461966E7" w14:textId="77777777" w:rsidTr="00AB4AE1">
        <w:trPr>
          <w:trHeight w:val="151"/>
        </w:trPr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CE5" w14:textId="77777777" w:rsidR="00787948" w:rsidRPr="00AB4AE1" w:rsidRDefault="00787948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695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Назва оснащення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F793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AF93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Орієнтовна загальна вартість, г</w:t>
            </w: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рн.</w:t>
            </w:r>
          </w:p>
        </w:tc>
      </w:tr>
      <w:tr w:rsidR="00AB4AE1" w:rsidRPr="00AB4AE1" w14:paraId="6DEEF703" w14:textId="77777777">
        <w:trPr>
          <w:trHeight w:val="300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9737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</w:tr>
      <w:tr w:rsidR="00AB4AE1" w:rsidRPr="00AB4AE1" w14:paraId="73CB67C8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CB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Відділення екстреної (невідкладної) медичної допомоги</w:t>
            </w:r>
          </w:p>
        </w:tc>
      </w:tr>
      <w:tr w:rsidR="00AB4AE1" w:rsidRPr="00AB4AE1" w14:paraId="294BE08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54CC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716FABD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Рекордер до системи ХМ-ЕКГ  BS6930-3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79DFC5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2E5E9EC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104 000,00</w:t>
            </w:r>
          </w:p>
        </w:tc>
      </w:tr>
      <w:tr w:rsidR="00AB4AE1" w:rsidRPr="00AB4AE1" w14:paraId="0AA8F724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E38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97E2F80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Апарат УЗД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8F0FD3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02F1E4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3 000 000,00</w:t>
            </w:r>
          </w:p>
        </w:tc>
      </w:tr>
      <w:tr w:rsidR="00AB4AE1" w:rsidRPr="00AB4AE1" w14:paraId="7909B987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CA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4F96F6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Рекордер до електрокардіологічного комплексу «ECGpro»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033182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332A5A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95 000,00</w:t>
            </w:r>
          </w:p>
        </w:tc>
      </w:tr>
      <w:tr w:rsidR="00AB4AE1" w:rsidRPr="00AB4AE1" w14:paraId="13C3E7F2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635D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03388E1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Реєстратор для добового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моніторингу артеріального тиску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416EC0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E692BD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50 000,00</w:t>
            </w:r>
          </w:p>
        </w:tc>
      </w:tr>
      <w:tr w:rsidR="00AB4AE1" w:rsidRPr="00AB4AE1" w14:paraId="2B28525F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E6A9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08EC0A1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Камера пароформалінова для інструментів з горизонтальними полицями 400 х 400 х 600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F80B52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47B2A31C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45 000,00</w:t>
            </w:r>
          </w:p>
        </w:tc>
      </w:tr>
      <w:tr w:rsidR="00AB4AE1" w:rsidRPr="00AB4AE1" w14:paraId="2BC5C69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E140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E8A2CD1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Портативний медичний аспіратор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5E61C3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7D5AFC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30 000,00</w:t>
            </w:r>
          </w:p>
        </w:tc>
      </w:tr>
      <w:tr w:rsidR="00AB4AE1" w:rsidRPr="00AB4AE1" w14:paraId="1AA8E654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33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F912E3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Монітор пацієнта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65675D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DF4929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100 000,00</w:t>
            </w:r>
          </w:p>
        </w:tc>
      </w:tr>
      <w:tr w:rsidR="00AB4AE1" w:rsidRPr="00AB4AE1" w14:paraId="304EF0C3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9D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4F1E2A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Дозатор лікувальних речовин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(шприцеві насоси)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3451B4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D3473E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60 000,00</w:t>
            </w:r>
          </w:p>
        </w:tc>
      </w:tr>
      <w:tr w:rsidR="00AB4AE1" w:rsidRPr="00AB4AE1" w14:paraId="793D9155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27C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Відділення анестезіології з ліжками для інтенсивної терапії</w:t>
            </w:r>
          </w:p>
        </w:tc>
      </w:tr>
      <w:tr w:rsidR="00AB4AE1" w:rsidRPr="00AB4AE1" w14:paraId="6D4C3885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6D74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A5CD37C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Монітор пацієнта поліфункціональний з неінвазивним вимірюванням гемодинаміки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629F57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42B9CF2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140 000,00</w:t>
            </w:r>
          </w:p>
        </w:tc>
      </w:tr>
      <w:tr w:rsidR="00AB4AE1" w:rsidRPr="00AB4AE1" w14:paraId="2787CD3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391C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598A523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Компресор Medical air compressor Mindray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C0411D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32E6FE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200 000,00</w:t>
            </w:r>
          </w:p>
        </w:tc>
      </w:tr>
      <w:tr w:rsidR="00AB4AE1" w:rsidRPr="00AB4AE1" w14:paraId="0A87F0C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21E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7F5B696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Шприцевий насос двошприцевий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86A906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B31A4B2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130 000,00</w:t>
            </w:r>
          </w:p>
        </w:tc>
      </w:tr>
      <w:tr w:rsidR="00AB4AE1" w:rsidRPr="00AB4AE1" w14:paraId="4F04876A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8092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24D340F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Стимулятор периферичних нервів для проведення провідникової анестезії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6D3072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8C7408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65 000,00</w:t>
            </w:r>
          </w:p>
        </w:tc>
      </w:tr>
      <w:tr w:rsidR="00AB4AE1" w:rsidRPr="00AB4AE1" w14:paraId="0392B47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C2B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2F93B0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Обладнання для зігрівання хворих під час операції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E5A218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2C53BC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120 000,00</w:t>
            </w:r>
          </w:p>
        </w:tc>
      </w:tr>
      <w:tr w:rsidR="00AB4AE1" w:rsidRPr="00AB4AE1" w14:paraId="545314A9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AA34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E8465D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Шафа медична двохдверна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3E01D7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7D793E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50 000,00</w:t>
            </w:r>
          </w:p>
        </w:tc>
      </w:tr>
      <w:tr w:rsidR="00AB4AE1" w:rsidRPr="00AB4AE1" w14:paraId="6AC29BB8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342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9EE78FB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Столики медичні (на 2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шухляди)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6CA3EC0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7A2C73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44 000,00</w:t>
            </w:r>
          </w:p>
        </w:tc>
      </w:tr>
      <w:tr w:rsidR="00AB4AE1" w:rsidRPr="00AB4AE1" w14:paraId="37D612B7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7E5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EED852B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Столики медичні (на 4 шухляди)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91A887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9F1AF12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155 000,00</w:t>
            </w:r>
          </w:p>
        </w:tc>
      </w:tr>
      <w:tr w:rsidR="00AB4AE1" w:rsidRPr="00AB4AE1" w14:paraId="4400E583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D3C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Травматологічне відділення</w:t>
            </w:r>
          </w:p>
        </w:tc>
      </w:tr>
      <w:tr w:rsidR="00AB4AE1" w:rsidRPr="00AB4AE1" w14:paraId="0AE35B4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AE39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135C688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Система очищення ран (ультразвуковий кавітатор ран)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70E12C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1F2CE5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550 000,00</w:t>
            </w:r>
          </w:p>
        </w:tc>
      </w:tr>
      <w:tr w:rsidR="00AB4AE1" w:rsidRPr="00AB4AE1" w14:paraId="4CEFA516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04D1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Рентгенологічне відділення</w:t>
            </w:r>
          </w:p>
        </w:tc>
      </w:tr>
      <w:tr w:rsidR="00AB4AE1" w:rsidRPr="00AB4AE1" w14:paraId="001B5BD2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0AB2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3B01000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Апарат МРТ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462B8D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A5954E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28 130 200,00</w:t>
            </w:r>
          </w:p>
        </w:tc>
      </w:tr>
      <w:tr w:rsidR="00AB4AE1" w:rsidRPr="00AB4AE1" w14:paraId="6BFFF8A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2D5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33EBA0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Сенсорний дисплей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87368B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4E85544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126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000,00</w:t>
            </w:r>
          </w:p>
        </w:tc>
      </w:tr>
      <w:tr w:rsidR="00AB4AE1" w:rsidRPr="00AB4AE1" w14:paraId="4C152E7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B2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F930A8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Пересувний (портативний) рентгендіагностичний апарат з цифрофою обробкою зображення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5CCA02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628F39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3 500 000,00</w:t>
            </w:r>
          </w:p>
        </w:tc>
      </w:tr>
      <w:tr w:rsidR="00AB4AE1" w:rsidRPr="00AB4AE1" w14:paraId="2E3D407B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397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Лабораторія</w:t>
            </w:r>
          </w:p>
        </w:tc>
      </w:tr>
      <w:tr w:rsidR="00AB4AE1" w:rsidRPr="00AB4AE1" w14:paraId="5EB980E4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5A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DB0EEF1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Автоматичний біохімічний аналізатор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67CB6FC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28C62D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1 000 000,00</w:t>
            </w:r>
          </w:p>
        </w:tc>
      </w:tr>
      <w:tr w:rsidR="00AB4AE1" w:rsidRPr="00AB4AE1" w14:paraId="30DBCE6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50C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06DC26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Гематологічний аналізатор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7387FE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D8EF86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1 000 000,00</w:t>
            </w:r>
          </w:p>
        </w:tc>
      </w:tr>
      <w:tr w:rsidR="00AB4AE1" w:rsidRPr="00AB4AE1" w14:paraId="6D03805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020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5CDE9FE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Баканалізатор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796A48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933384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1 500 000,00</w:t>
            </w:r>
          </w:p>
        </w:tc>
      </w:tr>
      <w:tr w:rsidR="00AB4AE1" w:rsidRPr="00AB4AE1" w14:paraId="71F210DA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92E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9372600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Напівавтоматичний чотирьохканальнийкоагулометр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3B9A5A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415588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150 000,00</w:t>
            </w:r>
          </w:p>
        </w:tc>
      </w:tr>
      <w:tr w:rsidR="00AB4AE1" w:rsidRPr="00AB4AE1" w14:paraId="2E426E5E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4E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B957099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Аналізатор швидкості осідання еритроцитів на 8 пробірок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F0D86B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14F5A18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200 000,00</w:t>
            </w:r>
          </w:p>
        </w:tc>
      </w:tr>
      <w:tr w:rsidR="00AB4AE1" w:rsidRPr="00AB4AE1" w14:paraId="106319A8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DA1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10AE12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Аналізатор швидкості осідання еритроцитів на 16 пробірок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96C24E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44D0914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325 000,00</w:t>
            </w:r>
          </w:p>
        </w:tc>
      </w:tr>
      <w:tr w:rsidR="00AB4AE1" w:rsidRPr="00AB4AE1" w14:paraId="65EE1C8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DF9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6AB1F49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Аналізатор швидкості осідання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еритроцитів на 32 пробірки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DDC079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D1BFE0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450 000,00</w:t>
            </w:r>
          </w:p>
        </w:tc>
      </w:tr>
      <w:tr w:rsidR="00AB4AE1" w:rsidRPr="00AB4AE1" w14:paraId="37F27AA8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EC8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57A7366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Лабораторна морозильна шафа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5A9C38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CBF0A1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100 000,00</w:t>
            </w:r>
          </w:p>
        </w:tc>
      </w:tr>
      <w:tr w:rsidR="00AB4AE1" w:rsidRPr="00AB4AE1" w14:paraId="7E7A9973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D41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298A8BB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Центрифуга лабораторна для гель-карт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58DD9F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DF0806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50 000,00</w:t>
            </w:r>
          </w:p>
        </w:tc>
      </w:tr>
      <w:tr w:rsidR="00AB4AE1" w:rsidRPr="00AB4AE1" w14:paraId="3ED600DF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CD29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946573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Денситометр (детектор каламутності)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D04D88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DF36E2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35 000,00</w:t>
            </w:r>
          </w:p>
        </w:tc>
      </w:tr>
      <w:tr w:rsidR="00AB4AE1" w:rsidRPr="00AB4AE1" w14:paraId="2E5382C6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D0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Хірургічне відділення</w:t>
            </w:r>
          </w:p>
        </w:tc>
      </w:tr>
      <w:tr w:rsidR="00AB4AE1" w:rsidRPr="00AB4AE1" w14:paraId="01EEB260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A41F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C109F6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Ендоскопічна стійка з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відеогастроскопом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DA7EDE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E5E47A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4 500 000,00</w:t>
            </w:r>
          </w:p>
        </w:tc>
      </w:tr>
      <w:tr w:rsidR="00AB4AE1" w:rsidRPr="00AB4AE1" w14:paraId="0417993D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BA0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Хірургічне відділення №2</w:t>
            </w:r>
          </w:p>
        </w:tc>
      </w:tr>
      <w:tr w:rsidR="00AB4AE1" w:rsidRPr="00AB4AE1" w14:paraId="09FEEA1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5DBA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73E749F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Біопсійний пістолет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20CDF9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2EB5A9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60 000,00</w:t>
            </w:r>
          </w:p>
        </w:tc>
      </w:tr>
      <w:tr w:rsidR="00AB4AE1" w:rsidRPr="00AB4AE1" w14:paraId="2B4B95D7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0D4F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37655D4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Ендоскопічна лор-стійка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DC7A6D2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F57830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2 000 000,00</w:t>
            </w:r>
          </w:p>
        </w:tc>
      </w:tr>
      <w:tr w:rsidR="00AB4AE1" w:rsidRPr="00AB4AE1" w14:paraId="4F2E3F8A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2636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F869593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Безтіньова двокупольна лампа операційна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924E57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78407D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700 000,00</w:t>
            </w:r>
          </w:p>
        </w:tc>
      </w:tr>
      <w:tr w:rsidR="00AB4AE1" w:rsidRPr="00AB4AE1" w14:paraId="7B271C04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68F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0EF079F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Цистоуретроскоп в копмлекті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D04345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155864F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2 000 000,00</w:t>
            </w:r>
          </w:p>
        </w:tc>
      </w:tr>
      <w:tr w:rsidR="00AB4AE1" w:rsidRPr="00AB4AE1" w14:paraId="1C8F27A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CB0D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FC867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Цистоскоп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катетеризаційний 2-х сторонній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7BF6DC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5E3506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55 000,00</w:t>
            </w:r>
          </w:p>
        </w:tc>
      </w:tr>
      <w:tr w:rsidR="00AB4AE1" w:rsidRPr="00AB4AE1" w14:paraId="2802FFB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FA2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5D23AE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Відеокамера ендоскопічна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72E9EC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28F2172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150 000,00</w:t>
            </w:r>
          </w:p>
        </w:tc>
      </w:tr>
      <w:tr w:rsidR="00AB4AE1" w:rsidRPr="00AB4AE1" w14:paraId="2A9A5CD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A9AA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8E947B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Біполярний резектоскопKarl Storz 26050/аналог з негіршими характеристиками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5E3159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3C012B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150 000,00</w:t>
            </w:r>
          </w:p>
        </w:tc>
      </w:tr>
      <w:tr w:rsidR="00AB4AE1" w:rsidRPr="00AB4AE1" w14:paraId="03A4CC9E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12E6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E86FD7C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Апарат ЕВХЧ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BB768AC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637542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32 000,00</w:t>
            </w:r>
          </w:p>
        </w:tc>
      </w:tr>
      <w:tr w:rsidR="00AB4AE1" w:rsidRPr="00AB4AE1" w14:paraId="7E50BECC" w14:textId="77777777" w:rsidTr="00AB4AE1">
        <w:trPr>
          <w:trHeight w:val="58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874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7FBD6AE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Хірургічний ендоскопічний монітор KARLSTORZ 23``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WIDEVIEWHDFLATPANELMONITOR/ аналог з негіршими характеристиками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367913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73A300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25 000,00</w:t>
            </w:r>
          </w:p>
        </w:tc>
      </w:tr>
      <w:tr w:rsidR="00AB4AE1" w:rsidRPr="00AB4AE1" w14:paraId="742FC7F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4E5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26F114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Інструмент лапароскопічний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3FB914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500A111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100 000,00</w:t>
            </w:r>
          </w:p>
        </w:tc>
      </w:tr>
      <w:tr w:rsidR="00AB4AE1" w:rsidRPr="00AB4AE1" w14:paraId="543806AF" w14:textId="77777777">
        <w:trPr>
          <w:trHeight w:val="600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30CF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CB86C8F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>
              <w:r w:rsidRPr="00AB4AE1">
                <w:rPr>
                  <w:rFonts w:ascii="Times New Roman" w:hAnsi="Times New Roman"/>
                  <w:sz w:val="20"/>
                  <w:szCs w:val="20"/>
                  <w:lang w:val="uk-UA" w:eastAsia="ru-RU"/>
                </w:rPr>
                <w:t>Апарат ШВЛ Mindray SV-300/аналог з негіршими характеристиками</w:t>
              </w:r>
            </w:hyperlink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A29915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17B9F6A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1 200 000,00</w:t>
            </w:r>
          </w:p>
        </w:tc>
      </w:tr>
      <w:tr w:rsidR="00AB4AE1" w:rsidRPr="00AB4AE1" w14:paraId="3E377267" w14:textId="77777777">
        <w:trPr>
          <w:trHeight w:val="300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34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 xml:space="preserve">Відділення анестезіології з ліжками інтенсивної терапії </w:t>
            </w: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акушерсько-гінекологічного профілю</w:t>
            </w:r>
          </w:p>
        </w:tc>
      </w:tr>
      <w:tr w:rsidR="00AB4AE1" w:rsidRPr="00AB4AE1" w14:paraId="1CC8E41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9D1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92E2ED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Відеоларингоскоп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018963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A474FA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100 000,00</w:t>
            </w:r>
          </w:p>
        </w:tc>
      </w:tr>
      <w:tr w:rsidR="00AB4AE1" w:rsidRPr="00AB4AE1" w14:paraId="3FCDD375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EF0A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9F944AC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Лампа операційна світлодіодна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ACC65D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1E6C679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190 000,00</w:t>
            </w:r>
          </w:p>
        </w:tc>
      </w:tr>
      <w:tr w:rsidR="00AB4AE1" w:rsidRPr="00AB4AE1" w14:paraId="1B8CC539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8A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F767CD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Портативний конвексно-лінійний бездротовий датчик для УЗД-апарату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B5621F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261587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600 000,00</w:t>
            </w:r>
          </w:p>
        </w:tc>
      </w:tr>
      <w:tr w:rsidR="00AB4AE1" w:rsidRPr="00AB4AE1" w14:paraId="25B47031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E17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lastRenderedPageBreak/>
              <w:t>Терапевтичне відділення</w:t>
            </w:r>
          </w:p>
        </w:tc>
      </w:tr>
      <w:tr w:rsidR="00AB4AE1" w:rsidRPr="00AB4AE1" w14:paraId="4D79C7C6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D91A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D587FF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Апарат для вимірювання кисню з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монітором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ACF1B6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65B091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42 000,00</w:t>
            </w:r>
          </w:p>
        </w:tc>
      </w:tr>
      <w:tr w:rsidR="00AB4AE1" w:rsidRPr="00AB4AE1" w14:paraId="7D16FBED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C4C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Кардіологічне відділення з ендокринологічними ліжками</w:t>
            </w:r>
          </w:p>
        </w:tc>
      </w:tr>
      <w:tr w:rsidR="00AB4AE1" w:rsidRPr="00AB4AE1" w14:paraId="4F041CDD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BA0A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AD171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Кардіограф по типу ЮКАРД 100/аналог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25B477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42D0601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52 000,00</w:t>
            </w:r>
          </w:p>
        </w:tc>
      </w:tr>
      <w:tr w:rsidR="00AB4AE1" w:rsidRPr="00AB4AE1" w14:paraId="651278A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2C70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5B9C2F1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Кардіодефібрилятор-монітор по типу БІФАЗІК +/аналог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27873F1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204969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140 000,00</w:t>
            </w:r>
          </w:p>
        </w:tc>
      </w:tr>
      <w:tr w:rsidR="00AB4AE1" w:rsidRPr="00AB4AE1" w14:paraId="3D97302F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507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Гінекологічне відділення</w:t>
            </w:r>
          </w:p>
        </w:tc>
      </w:tr>
      <w:tr w:rsidR="00AB4AE1" w:rsidRPr="00AB4AE1" w14:paraId="4E2D7DDE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3DD5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BF10E83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Гістерорезектоскоп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9C6946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238F57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800 000,00</w:t>
            </w:r>
          </w:p>
        </w:tc>
      </w:tr>
      <w:tr w:rsidR="00AB4AE1" w:rsidRPr="00AB4AE1" w14:paraId="0D8E125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ADC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DD5F244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Інсуфлятор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63BBD41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7C4A22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250 000,00</w:t>
            </w:r>
          </w:p>
        </w:tc>
      </w:tr>
      <w:tr w:rsidR="00AB4AE1" w:rsidRPr="00AB4AE1" w14:paraId="1BCEA61B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F285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4FE9A6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Лампа оглядова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676433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41FCD6F1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60 000,00</w:t>
            </w:r>
          </w:p>
        </w:tc>
      </w:tr>
      <w:tr w:rsidR="00AB4AE1" w:rsidRPr="00AB4AE1" w14:paraId="656A01BE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2961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08B6AB2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Монітор пацієнта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6F88FD30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566020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40 000,00</w:t>
            </w:r>
          </w:p>
        </w:tc>
      </w:tr>
      <w:tr w:rsidR="00AB4AE1" w:rsidRPr="00AB4AE1" w14:paraId="3C15C9E0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F7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FAA680F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Крісло гінекологічне електричне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766D3A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ED27D1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120 000,00</w:t>
            </w:r>
          </w:p>
        </w:tc>
      </w:tr>
      <w:tr w:rsidR="00AB4AE1" w:rsidRPr="00AB4AE1" w14:paraId="56C18E78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6D25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7DDE4F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Стіл операційний електричний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6A54D8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E9C8C5C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270 000,00</w:t>
            </w:r>
          </w:p>
        </w:tc>
      </w:tr>
      <w:tr w:rsidR="00AB4AE1" w:rsidRPr="00AB4AE1" w14:paraId="40D6CDC8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4E8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8EA708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Відеокольпоскоп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35AA7CD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88491B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150 000,00</w:t>
            </w:r>
          </w:p>
        </w:tc>
      </w:tr>
      <w:tr w:rsidR="00AB4AE1" w:rsidRPr="00AB4AE1" w14:paraId="42A67FF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4342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49DE709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Коагулятор високочастотний електрохірургічний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8B5169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563176C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65 000,00</w:t>
            </w:r>
          </w:p>
        </w:tc>
      </w:tr>
      <w:tr w:rsidR="00AB4AE1" w:rsidRPr="00AB4AE1" w14:paraId="4287DA70" w14:textId="77777777">
        <w:trPr>
          <w:trHeight w:val="300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1D9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Пологове відділення з післяпологовими палатами та палатами патології вагітності</w:t>
            </w:r>
          </w:p>
        </w:tc>
      </w:tr>
      <w:tr w:rsidR="00AB4AE1" w:rsidRPr="00AB4AE1" w14:paraId="472C8CB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E2AF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BAC584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Двохшприцевийі нфузійний насос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6DC3434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6F8F06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41 000,00</w:t>
            </w:r>
          </w:p>
        </w:tc>
      </w:tr>
      <w:tr w:rsidR="00AB4AE1" w:rsidRPr="00AB4AE1" w14:paraId="7D8D428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4F5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CD5E1A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Автоматичний аналізатор газів крові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43E3D2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2BCBC3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500 000,00</w:t>
            </w:r>
          </w:p>
        </w:tc>
      </w:tr>
      <w:tr w:rsidR="00AB4AE1" w:rsidRPr="00AB4AE1" w14:paraId="0E882C5E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FA62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E184F74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Вітальний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монітор пацієнта з неонатальними датчиками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5ACE46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4C3971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60 000,00</w:t>
            </w:r>
          </w:p>
        </w:tc>
      </w:tr>
      <w:tr w:rsidR="00AB4AE1" w:rsidRPr="00AB4AE1" w14:paraId="34F3C797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D1E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Поліклініка</w:t>
            </w:r>
          </w:p>
        </w:tc>
      </w:tr>
      <w:tr w:rsidR="00AB4AE1" w:rsidRPr="00AB4AE1" w14:paraId="656D6E33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AD92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DDB78FB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Офтальмологічна щілинна лампа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7BCFED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188946C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45 500,00</w:t>
            </w:r>
          </w:p>
        </w:tc>
      </w:tr>
      <w:tr w:rsidR="00AB4AE1" w:rsidRPr="00AB4AE1" w14:paraId="17E11B40" w14:textId="77777777" w:rsidTr="00AB4AE1">
        <w:trPr>
          <w:trHeight w:val="50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AEC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EC344E4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Неодимова система (лазер)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436D1C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61A3E9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800 000,00</w:t>
            </w:r>
          </w:p>
        </w:tc>
      </w:tr>
      <w:tr w:rsidR="00AB4AE1" w:rsidRPr="00AB4AE1" w14:paraId="1D96E1F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36A6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B405452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Регістратор добового ЕКГ по Холтеру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DEFBBB5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100FA81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65 000,00</w:t>
            </w:r>
          </w:p>
        </w:tc>
      </w:tr>
      <w:tr w:rsidR="00AB4AE1" w:rsidRPr="00AB4AE1" w14:paraId="52A7AFD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4016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6F728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Регістратор добового моніторингу </w:t>
            </w: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артеріального тиску (холтер АТ)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089A82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5C054EA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55 000,00</w:t>
            </w:r>
          </w:p>
        </w:tc>
      </w:tr>
      <w:tr w:rsidR="00AB4AE1" w:rsidRPr="00AB4AE1" w14:paraId="1B460509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986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AA9FFED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Портативний ендоскопічна камера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6CC146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E38273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170 000,00</w:t>
            </w:r>
          </w:p>
        </w:tc>
      </w:tr>
      <w:tr w:rsidR="00AB4AE1" w:rsidRPr="00AB4AE1" w14:paraId="41AE76EA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F4BF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F29325B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Фундус камери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4A7DA746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5186F69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530 000,00</w:t>
            </w:r>
          </w:p>
        </w:tc>
      </w:tr>
      <w:tr w:rsidR="00AB4AE1" w:rsidRPr="00AB4AE1" w14:paraId="7D1118C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BF1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F44F50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Безконтактний пневмотонометр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A93AE7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E98F58D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500 000,00</w:t>
            </w:r>
          </w:p>
        </w:tc>
      </w:tr>
      <w:tr w:rsidR="00AB4AE1" w:rsidRPr="00AB4AE1" w14:paraId="63A2E7AA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21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907160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Дерматологічний кріодеструктур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95A593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A1DC88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36 000,00</w:t>
            </w:r>
          </w:p>
        </w:tc>
      </w:tr>
      <w:tr w:rsidR="00AB4AE1" w:rsidRPr="00AB4AE1" w14:paraId="473C8854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5213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3BFA3A2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Кольпоскоп Сканер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69F533B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7ECE310C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100 000,00</w:t>
            </w:r>
          </w:p>
        </w:tc>
      </w:tr>
      <w:tr w:rsidR="00AB4AE1" w:rsidRPr="00AB4AE1" w14:paraId="3BDC9A35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D8CD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F82BF4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Хірургічний/оглядовий світильник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BBB16AA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33616E9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23 000,00</w:t>
            </w:r>
          </w:p>
        </w:tc>
      </w:tr>
      <w:tr w:rsidR="00AB4AE1" w:rsidRPr="00AB4AE1" w14:paraId="484B9A0F" w14:textId="77777777">
        <w:trPr>
          <w:trHeight w:val="300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A6B1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Терапевтичне відділення з ліжками для паліативної допомоги</w:t>
            </w:r>
          </w:p>
        </w:tc>
      </w:tr>
      <w:tr w:rsidR="00AB4AE1" w:rsidRPr="00AB4AE1" w14:paraId="14B89169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0F69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7F60072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Пристрій для підняття пацієнта в ліжку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237BCBF7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5F4C7F32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80 000,00</w:t>
            </w:r>
          </w:p>
        </w:tc>
      </w:tr>
      <w:tr w:rsidR="00AB4AE1" w:rsidRPr="00AB4AE1" w14:paraId="64798AF7" w14:textId="77777777" w:rsidTr="00AB4AE1">
        <w:trPr>
          <w:trHeight w:val="45"/>
        </w:trPr>
        <w:tc>
          <w:tcPr>
            <w:tcW w:w="11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05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Дитяче відділення</w:t>
            </w:r>
          </w:p>
        </w:tc>
      </w:tr>
      <w:tr w:rsidR="00AB4AE1" w:rsidRPr="00AB4AE1" w14:paraId="4FD96B71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1740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E9ACD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Система кольорової візуалізації вен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7198B5F4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0A89499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120 000,00</w:t>
            </w:r>
          </w:p>
        </w:tc>
      </w:tr>
      <w:tr w:rsidR="00AB4AE1" w:rsidRPr="00AB4AE1" w14:paraId="5074F7FF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75D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B508867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Ультразвуковий небулайзер (по типу OMRON U17/аналог з негіршими характеристиками)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0B8DCDA9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5A1771C8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65 000,00</w:t>
            </w:r>
          </w:p>
        </w:tc>
      </w:tr>
      <w:tr w:rsidR="00AB4AE1" w:rsidRPr="00AB4AE1" w14:paraId="4FA197FC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D285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14B0CD5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Ліжечко медичне дитяче КД з матрацом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17384363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647DF80B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108 000,00</w:t>
            </w:r>
          </w:p>
        </w:tc>
      </w:tr>
      <w:tr w:rsidR="00AB4AE1" w:rsidRPr="00AB4AE1" w14:paraId="5BBCF3AD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7E29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C0495AD" w14:textId="77777777" w:rsidR="00787948" w:rsidRPr="00AB4AE1" w:rsidRDefault="00AB4AE1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Шафа медична ШМ-Д-М-М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</w:tcPr>
          <w:p w14:paraId="56EF032F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</w:tcPr>
          <w:p w14:paraId="2A5A0D4C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 w:eastAsia="ru-RU"/>
              </w:rPr>
              <w:t>41 000,00</w:t>
            </w:r>
          </w:p>
        </w:tc>
      </w:tr>
      <w:tr w:rsidR="00AB4AE1" w:rsidRPr="00AB4AE1" w14:paraId="4EAAE5EE" w14:textId="77777777" w:rsidTr="00AB4AE1">
        <w:trPr>
          <w:trHeight w:val="4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D103B" w14:textId="77777777" w:rsidR="00787948" w:rsidRPr="00AB4AE1" w:rsidRDefault="00787948" w:rsidP="00AB4AE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C4A637" w14:textId="77777777" w:rsidR="00787948" w:rsidRPr="00AB4AE1" w:rsidRDefault="00AB4AE1" w:rsidP="00AB4AE1">
            <w:pPr>
              <w:suppressAutoHyphens w:val="0"/>
              <w:spacing w:after="0" w:line="240" w:lineRule="auto"/>
              <w:ind w:left="-250" w:firstLine="250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 ВСЬОГО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294C58" w14:textId="77777777" w:rsidR="00787948" w:rsidRPr="00AB4AE1" w:rsidRDefault="00787948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62A6EE" w14:textId="77777777" w:rsidR="00787948" w:rsidRPr="00AB4AE1" w:rsidRDefault="00AB4AE1" w:rsidP="00AB4A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58 694 700,00</w:t>
            </w:r>
          </w:p>
        </w:tc>
      </w:tr>
    </w:tbl>
    <w:p w14:paraId="0D43C3C4" w14:textId="77777777" w:rsidR="00787948" w:rsidRPr="00AB4AE1" w:rsidRDefault="00AB4AE1" w:rsidP="00AB4AE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bookmarkStart w:id="1" w:name="_Hlk216269431"/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Усього по завданню №3                          </w:t>
      </w: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58 694 700,00 грн.</w:t>
      </w:r>
      <w:bookmarkEnd w:id="1"/>
    </w:p>
    <w:p w14:paraId="2560943B" w14:textId="77777777" w:rsidR="00787948" w:rsidRPr="00AB4AE1" w:rsidRDefault="00AB4AE1" w:rsidP="00AB4AE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uk-UA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>Завдання №4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</w:p>
    <w:tbl>
      <w:tblPr>
        <w:tblW w:w="6430" w:type="dxa"/>
        <w:jc w:val="center"/>
        <w:tblLayout w:type="fixed"/>
        <w:tblLook w:val="00A0" w:firstRow="1" w:lastRow="0" w:firstColumn="1" w:lastColumn="0" w:noHBand="0" w:noVBand="0"/>
      </w:tblPr>
      <w:tblGrid>
        <w:gridCol w:w="3392"/>
        <w:gridCol w:w="3038"/>
      </w:tblGrid>
      <w:tr w:rsidR="00AB4AE1" w:rsidRPr="00AB4AE1" w14:paraId="58FCCAFB" w14:textId="77777777" w:rsidTr="00AB4AE1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56B85" w14:textId="77777777" w:rsidR="00787948" w:rsidRPr="00AB4AE1" w:rsidRDefault="00AB4AE1" w:rsidP="00AB4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</w:t>
            </w: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апрямки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9E04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AB4AE1" w:rsidRPr="00AB4AE1" w14:paraId="43C13B7D" w14:textId="77777777" w:rsidTr="00AB4AE1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3DC9E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t>Заробітна плата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6A5" w14:textId="77777777" w:rsidR="00787948" w:rsidRPr="00AB4AE1" w:rsidRDefault="00AB4AE1" w:rsidP="00AB4A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384 340,00</w:t>
            </w:r>
          </w:p>
        </w:tc>
      </w:tr>
      <w:tr w:rsidR="00AB4AE1" w:rsidRPr="00AB4AE1" w14:paraId="2725737A" w14:textId="77777777" w:rsidTr="00AB4AE1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3F230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t>Нарахування на оплату праці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1C18" w14:textId="77777777" w:rsidR="00787948" w:rsidRPr="00AB4AE1" w:rsidRDefault="00AB4AE1" w:rsidP="00AB4A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sz w:val="20"/>
                <w:szCs w:val="20"/>
                <w:lang w:val="uk-UA"/>
              </w:rPr>
              <w:t>84 560,00</w:t>
            </w:r>
          </w:p>
        </w:tc>
      </w:tr>
      <w:tr w:rsidR="00AB4AE1" w:rsidRPr="00AB4AE1" w14:paraId="7CB06019" w14:textId="77777777" w:rsidTr="00AB4AE1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BCFFC" w14:textId="77777777" w:rsidR="00787948" w:rsidRPr="00AB4AE1" w:rsidRDefault="00AB4AE1" w:rsidP="00AB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DE06" w14:textId="77777777" w:rsidR="00787948" w:rsidRPr="00AB4AE1" w:rsidRDefault="00AB4AE1" w:rsidP="00AB4AE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AE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468 900,00</w:t>
            </w:r>
          </w:p>
        </w:tc>
      </w:tr>
    </w:tbl>
    <w:p w14:paraId="156389B5" w14:textId="77777777" w:rsidR="00787948" w:rsidRPr="00AB4AE1" w:rsidRDefault="00AB4AE1" w:rsidP="00AB4AE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sz w:val="24"/>
          <w:szCs w:val="24"/>
          <w:lang w:val="uk-UA"/>
        </w:rPr>
        <w:t xml:space="preserve">Усього по завданню №4            468 900,00 грн. </w:t>
      </w:r>
    </w:p>
    <w:p w14:paraId="62E8418C" w14:textId="77777777" w:rsidR="00787948" w:rsidRPr="00AB4AE1" w:rsidRDefault="00AB4AE1" w:rsidP="00AB4A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b/>
          <w:bCs/>
          <w:sz w:val="24"/>
          <w:szCs w:val="24"/>
          <w:lang w:val="uk-UA"/>
        </w:rPr>
        <w:t>VІ. Координація та контроль за ходом виконання програми</w:t>
      </w:r>
    </w:p>
    <w:p w14:paraId="03278F86" w14:textId="77777777" w:rsidR="00787948" w:rsidRPr="00AB4AE1" w:rsidRDefault="00AB4AE1" w:rsidP="00AB4AE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Безпосередній контроль за виконанням </w:t>
      </w:r>
      <w:r w:rsidRPr="00AB4AE1">
        <w:rPr>
          <w:rFonts w:ascii="Times New Roman" w:hAnsi="Times New Roman"/>
          <w:sz w:val="24"/>
          <w:szCs w:val="24"/>
          <w:lang w:val="uk-UA"/>
        </w:rPr>
        <w:t>Програми здійснюється головним розпорядником.</w:t>
      </w:r>
    </w:p>
    <w:p w14:paraId="1FB9BE3B" w14:textId="77777777" w:rsidR="00787948" w:rsidRPr="00AB4AE1" w:rsidRDefault="00AB4AE1" w:rsidP="00AB4AE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кварталом.</w:t>
      </w:r>
    </w:p>
    <w:p w14:paraId="33C399E7" w14:textId="77777777" w:rsidR="00787948" w:rsidRPr="00AB4AE1" w:rsidRDefault="00AB4AE1" w:rsidP="00AB4AE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Головний розпорядник бюджетних коштів надає звіт про вик</w:t>
      </w:r>
      <w:r w:rsidRPr="00AB4AE1">
        <w:rPr>
          <w:rFonts w:ascii="Times New Roman" w:hAnsi="Times New Roman"/>
          <w:sz w:val="24"/>
          <w:szCs w:val="24"/>
          <w:lang w:val="uk-UA"/>
        </w:rPr>
        <w:t>онання Програми фінансовому управлінню Ніжинської міської ради Чернігівської області щоквартально до 06 числа місяця наступного за звітним кварталом.</w:t>
      </w:r>
    </w:p>
    <w:p w14:paraId="71F413CC" w14:textId="77777777" w:rsidR="00787948" w:rsidRPr="00AB4AE1" w:rsidRDefault="00AB4AE1" w:rsidP="00AB4AE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 xml:space="preserve">Головний розпорядник звітує про виконання Програми 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AB4AE1">
        <w:rPr>
          <w:rFonts w:ascii="Times New Roman" w:hAnsi="Times New Roman"/>
          <w:sz w:val="24"/>
          <w:szCs w:val="24"/>
          <w:lang w:val="uk-UA"/>
        </w:rPr>
        <w:t>сесії міської ради за підсумками року.</w:t>
      </w:r>
    </w:p>
    <w:p w14:paraId="3BA873FE" w14:textId="77777777" w:rsidR="00787948" w:rsidRPr="00AB4AE1" w:rsidRDefault="00AB4AE1" w:rsidP="00AB4AE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Фінансове забезпечення здійснюється у межах кошторисних призначень на бюджетний період.</w:t>
      </w:r>
    </w:p>
    <w:p w14:paraId="4876ACEB" w14:textId="77777777" w:rsidR="00787948" w:rsidRPr="00AB4AE1" w:rsidRDefault="00AB4AE1" w:rsidP="00AB4AE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uk-UA"/>
        </w:rPr>
        <w:t>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</w:t>
      </w:r>
      <w:r w:rsidRPr="00AB4AE1">
        <w:rPr>
          <w:rFonts w:ascii="Times New Roman" w:hAnsi="Times New Roman"/>
          <w:sz w:val="24"/>
          <w:szCs w:val="24"/>
          <w:lang w:val="uk-UA"/>
        </w:rPr>
        <w:t>ї громади</w:t>
      </w:r>
    </w:p>
    <w:p w14:paraId="0BD47E74" w14:textId="77777777" w:rsidR="00787948" w:rsidRPr="00AB4AE1" w:rsidRDefault="00AB4AE1" w:rsidP="00AB4A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AE1">
        <w:rPr>
          <w:rFonts w:ascii="Times New Roman" w:hAnsi="Times New Roman"/>
          <w:sz w:val="24"/>
          <w:szCs w:val="24"/>
          <w:lang w:val="en-US"/>
        </w:rPr>
        <w:t>Міськи</w:t>
      </w:r>
      <w:r w:rsidRPr="00AB4AE1">
        <w:rPr>
          <w:rFonts w:ascii="Times New Roman" w:hAnsi="Times New Roman"/>
          <w:sz w:val="24"/>
          <w:szCs w:val="24"/>
          <w:lang w:val="uk-UA"/>
        </w:rPr>
        <w:t xml:space="preserve">й голова </w:t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</w:r>
      <w:r w:rsidRPr="00AB4AE1">
        <w:rPr>
          <w:rFonts w:ascii="Times New Roman" w:hAnsi="Times New Roman"/>
          <w:sz w:val="24"/>
          <w:szCs w:val="24"/>
          <w:lang w:val="uk-UA"/>
        </w:rPr>
        <w:tab/>
        <w:t>Олександр КОДОЛА</w:t>
      </w:r>
    </w:p>
    <w:sectPr w:rsidR="00787948" w:rsidRPr="00AB4AE1" w:rsidSect="00AB4AE1">
      <w:pgSz w:w="11906" w:h="16838"/>
      <w:pgMar w:top="709" w:right="566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2B49"/>
    <w:multiLevelType w:val="multilevel"/>
    <w:tmpl w:val="752C803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9020D2"/>
    <w:multiLevelType w:val="multilevel"/>
    <w:tmpl w:val="AFDE5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948"/>
    <w:rsid w:val="00787948"/>
    <w:rsid w:val="00A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05198"/>
  <w15:docId w15:val="{A3A5E26D-7215-479B-ADFA-DF767D9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9E"/>
    <w:pPr>
      <w:spacing w:after="200" w:line="276" w:lineRule="auto"/>
    </w:pPr>
    <w:rPr>
      <w:rFonts w:ascii="Calibri" w:hAnsi="Calibri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qFormat/>
    <w:rsid w:val="005A599E"/>
    <w:rPr>
      <w:rFonts w:eastAsia="Calibri" w:cs="Times New Roman"/>
      <w:sz w:val="20"/>
      <w:szCs w:val="20"/>
      <w:lang w:val="ru-RU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2F5D7C"/>
    <w:rPr>
      <w:rFonts w:ascii="Segoe UI" w:eastAsia="Calibri" w:hAnsi="Segoe UI" w:cs="Segoe UI"/>
      <w:sz w:val="18"/>
      <w:szCs w:val="18"/>
      <w:lang w:val="ru-RU"/>
    </w:rPr>
  </w:style>
  <w:style w:type="character" w:styleId="a7">
    <w:name w:val="Strong"/>
    <w:qFormat/>
    <w:rsid w:val="004558ED"/>
    <w:rPr>
      <w:rFonts w:cs="Times New Roman"/>
      <w:b/>
      <w:bCs/>
    </w:rPr>
  </w:style>
  <w:style w:type="character" w:customStyle="1" w:styleId="fadeinm1hgl8">
    <w:name w:val="_fadein_m1hgl_8"/>
    <w:basedOn w:val="a0"/>
    <w:qFormat/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5A599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b">
    <w:name w:val="List"/>
    <w:basedOn w:val="a4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5A599E"/>
    <w:rPr>
      <w:rFonts w:eastAsia="Times New Roman" w:cs="Times New Roman"/>
      <w:sz w:val="20"/>
      <w:szCs w:val="20"/>
      <w:lang w:val="ru-RU" w:eastAsia="ru-RU"/>
    </w:rPr>
  </w:style>
  <w:style w:type="paragraph" w:styleId="ae">
    <w:name w:val="No Spacing"/>
    <w:qFormat/>
    <w:rsid w:val="005A599E"/>
    <w:rPr>
      <w:rFonts w:ascii="Calibri" w:eastAsia="Times New Roman" w:hAnsi="Calibri" w:cs="Times New Roman"/>
      <w:sz w:val="22"/>
      <w:lang w:val="ru-RU"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F5D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5A1B4F"/>
    <w:pPr>
      <w:ind w:left="720"/>
      <w:contextualSpacing/>
    </w:pPr>
  </w:style>
  <w:style w:type="paragraph" w:styleId="af0">
    <w:name w:val="Normal (Web)"/>
    <w:basedOn w:val="a"/>
    <w:uiPriority w:val="99"/>
    <w:qFormat/>
    <w:rsid w:val="00B41323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B41323"/>
    <w:rPr>
      <w:rFonts w:ascii="Calibri" w:hAnsi="Calibri" w:cs="Times New Roman"/>
      <w:sz w:val="22"/>
      <w:lang w:val="ru-RU" w:eastAsia="ru-RU"/>
    </w:rPr>
  </w:style>
  <w:style w:type="paragraph" w:customStyle="1" w:styleId="af1">
    <w:name w:val="Вміст рамки"/>
    <w:basedOn w:val="a"/>
    <w:qFormat/>
  </w:style>
  <w:style w:type="paragraph" w:customStyle="1" w:styleId="user1">
    <w:name w:val="Вміст рамки (user)"/>
    <w:basedOn w:val="a"/>
    <w:qFormat/>
  </w:style>
  <w:style w:type="paragraph" w:styleId="af2">
    <w:name w:val="Quote"/>
    <w:basedOn w:val="a"/>
    <w:next w:val="a"/>
    <w:qFormat/>
    <w:rPr>
      <w:i/>
      <w:iCs/>
      <w:color w:val="000000" w:themeColor="text1"/>
    </w:rPr>
  </w:style>
  <w:style w:type="numbering" w:customStyle="1" w:styleId="af3">
    <w:name w:val="Без маркерів"/>
    <w:uiPriority w:val="99"/>
    <w:semiHidden/>
    <w:unhideWhenUsed/>
    <w:qFormat/>
  </w:style>
  <w:style w:type="table" w:styleId="af4">
    <w:name w:val="Table Grid"/>
    <w:basedOn w:val="a1"/>
    <w:uiPriority w:val="39"/>
    <w:rsid w:val="002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rwind.com.ua/ru/product/aparat-stucnoyi-ventilyaciyi-legen-mindray-sv-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BEA8-AA05-4616-83F9-CF365DAA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3047</Words>
  <Characters>17369</Characters>
  <Application>Microsoft Office Word</Application>
  <DocSecurity>0</DocSecurity>
  <Lines>144</Lines>
  <Paragraphs>40</Paragraphs>
  <ScaleCrop>false</ScaleCrop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</dc:creator>
  <dc:description/>
  <cp:lastModifiedBy>Пользователь</cp:lastModifiedBy>
  <cp:revision>162</cp:revision>
  <cp:lastPrinted>2026-02-17T09:40:00Z</cp:lastPrinted>
  <dcterms:created xsi:type="dcterms:W3CDTF">2021-08-17T11:16:00Z</dcterms:created>
  <dcterms:modified xsi:type="dcterms:W3CDTF">2026-02-17T09:40:00Z</dcterms:modified>
  <dc:language>uk-UA</dc:language>
</cp:coreProperties>
</file>