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rPr>
      </w:pPr>
      <w:r>
        <mc:AlternateContent>
          <mc:Choice Requires="wps">
            <w:drawing>
              <wp:anchor distT="1270" distB="0" distL="1270" distR="0" simplePos="0" relativeHeight="3" behindDoc="0" locked="0" layoutInCell="1" allowOverlap="1">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user2"/>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fillcolor="white" stroked="t" o:allowincell="f" style="position:absolute;margin-left:523.8pt;margin-top:6.7pt;width:15.6pt;height:8.4pt;mso-wrap-style:none;v-text-anchor:middle">
                <v:fill o:detectmouseclick="t" type="solid" color2="black"/>
                <v:stroke color="white" joinstyle="round" endcap="flat"/>
                <v:textbox>
                  <w:txbxContent>
                    <w:p>
                      <w:pPr>
                        <w:pStyle w:val="user2"/>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rPr>
      </w:pPr>
      <w:r>
        <w:rPr/>
        <w:drawing>
          <wp:inline distT="0" distB="0" distL="0" distR="0">
            <wp:extent cx="485775" cy="6000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rPr>
      </w:pPr>
      <w:r>
        <w:rPr>
          <w:rFonts w:ascii="Times New Roman" w:hAnsi="Times New Roman"/>
          <w:b/>
          <w:sz w:val="28"/>
          <w:szCs w:val="28"/>
          <w:lang w:val="uk-UA"/>
        </w:rPr>
        <w:t>УКРАЇНА</w:t>
      </w:r>
    </w:p>
    <w:p>
      <w:pPr>
        <w:pStyle w:val="NoSpacing"/>
        <w:jc w:val="center"/>
        <w:rPr>
          <w:rFonts w:ascii="Times New Roman" w:hAnsi="Times New Roman"/>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rPr>
      </w:pPr>
      <w:r>
        <w:rPr>
          <w:rFonts w:ascii="Times New Roman" w:hAnsi="Times New Roman"/>
          <w:b/>
          <w:sz w:val="32"/>
          <w:szCs w:val="32"/>
          <w:lang w:val="uk-UA"/>
        </w:rPr>
        <w:t>Н І Ж И Н С Ь К А    М І С Ь К А    Р А Д А</w:t>
      </w:r>
    </w:p>
    <w:p>
      <w:pPr>
        <w:pStyle w:val="NoSpacing"/>
        <w:jc w:val="center"/>
        <w:rPr>
          <w:rFonts w:ascii="Times New Roman" w:hAnsi="Times New Roman"/>
        </w:rPr>
      </w:pPr>
      <w:r>
        <w:rPr>
          <w:rFonts w:ascii="Times New Roman" w:hAnsi="Times New Roman"/>
          <w:b w:val="false"/>
          <w:bCs w:val="false"/>
          <w:sz w:val="32"/>
          <w:u w:val="none"/>
          <w:lang w:val="en-US"/>
        </w:rPr>
        <w:t xml:space="preserve">55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rPr>
      </w:pPr>
      <w:r>
        <w:rPr>
          <w:rFonts w:ascii="Times New Roman" w:hAnsi="Times New Roman"/>
          <w:b/>
          <w:sz w:val="40"/>
          <w:szCs w:val="40"/>
          <w:lang w:val="uk-UA"/>
        </w:rPr>
        <w:t>Р І Ш Е Н Н Я</w:t>
      </w:r>
    </w:p>
    <w:p>
      <w:pPr>
        <w:pStyle w:val="1"/>
        <w:rPr>
          <w:rFonts w:ascii="Times New Roman" w:hAnsi="Times New Roman"/>
        </w:rPr>
      </w:pPr>
      <w:r>
        <w:rPr>
          <w:sz w:val="28"/>
          <w:lang w:val="uk-UA"/>
        </w:rPr>
        <w:t>від 21 травня 2026 року                  м.Ніжин</w:t>
        <w:tab/>
        <w:tab/>
        <w:tab/>
        <w:t xml:space="preserve">     </w:t>
      </w:r>
      <w:r>
        <w:rPr>
          <w:i w:val="false"/>
          <w:iCs w:val="false"/>
          <w:sz w:val="28"/>
          <w:szCs w:val="28"/>
          <w:lang w:val="uk-UA" w:eastAsia="en-US"/>
        </w:rPr>
        <w:t>№8-55/2026</w:t>
      </w:r>
    </w:p>
    <w:p>
      <w:pPr>
        <w:pStyle w:val="1"/>
        <w:rPr>
          <w:rFonts w:ascii="Times New Roman" w:hAnsi="Times New Roman"/>
          <w:b/>
          <w:sz w:val="28"/>
          <w:lang w:val="uk-UA"/>
        </w:rPr>
      </w:pPr>
      <w:r>
        <w:rPr>
          <w:b/>
          <w:sz w:val="28"/>
          <w:lang w:val="uk-UA"/>
        </w:rPr>
      </w:r>
    </w:p>
    <w:p>
      <w:pPr>
        <w:pStyle w:val="NoSpacing"/>
        <w:jc w:val="both"/>
        <w:rPr>
          <w:rFonts w:ascii="Times New Roman" w:hAnsi="Times New Roman"/>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rPr>
      </w:pPr>
      <w:r>
        <w:rPr>
          <w:rFonts w:ascii="Times New Roman" w:hAnsi="Times New Roman"/>
          <w:sz w:val="28"/>
          <w:szCs w:val="28"/>
          <w:lang w:val="uk-UA"/>
        </w:rPr>
        <w:t xml:space="preserve">міської ради від 24 грудня 2025 року </w:t>
      </w:r>
    </w:p>
    <w:p>
      <w:pPr>
        <w:pStyle w:val="NoSpacing"/>
        <w:jc w:val="both"/>
        <w:rPr>
          <w:rFonts w:ascii="Times New Roman" w:hAnsi="Times New Roman"/>
        </w:rPr>
      </w:pPr>
      <w:r>
        <w:rPr>
          <w:rFonts w:ascii="Times New Roman" w:hAnsi="Times New Roman"/>
          <w:sz w:val="28"/>
          <w:szCs w:val="28"/>
          <w:lang w:val="uk-UA"/>
        </w:rPr>
        <w:t xml:space="preserve">№ </w:t>
      </w:r>
      <w:r>
        <w:rPr>
          <w:rFonts w:ascii="Times New Roman" w:hAnsi="Times New Roman"/>
          <w:sz w:val="28"/>
          <w:szCs w:val="28"/>
          <w:lang w:val="uk-UA"/>
        </w:rPr>
        <w:t xml:space="preserve">5-52/2025 «Про затвердження програм </w:t>
      </w:r>
    </w:p>
    <w:p>
      <w:pPr>
        <w:pStyle w:val="NoSpacing"/>
        <w:jc w:val="both"/>
        <w:rPr>
          <w:rFonts w:ascii="Times New Roman" w:hAnsi="Times New Roman"/>
        </w:rPr>
      </w:pPr>
      <w:r>
        <w:rPr>
          <w:rFonts w:ascii="Times New Roman" w:hAnsi="Times New Roman"/>
          <w:sz w:val="28"/>
          <w:szCs w:val="28"/>
          <w:lang w:val="uk-UA"/>
        </w:rPr>
        <w:t>місцевого/регіонального значення на 2026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rPr>
      </w:pPr>
      <w:r>
        <w:rPr>
          <w:rFonts w:ascii="Times New Roman" w:hAnsi="Times New Roman"/>
          <w:sz w:val="28"/>
          <w:szCs w:val="28"/>
          <w:lang w:val="uk-UA"/>
        </w:rPr>
        <w:t>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рішення Ніжинської міської ради від 24</w:t>
      </w:r>
      <w:r>
        <w:rPr>
          <w:rFonts w:ascii="Times New Roman" w:hAnsi="Times New Roman"/>
          <w:sz w:val="28"/>
          <w:lang w:val="uk-UA"/>
        </w:rPr>
        <w:t xml:space="preserve"> грудня 2025 року №5-52/2025 «Про затвердження програм місцевого/регіонального  значення на 2026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rPr>
      </w:pPr>
      <w:r>
        <w:rPr>
          <w:rFonts w:ascii="Times New Roman" w:hAnsi="Times New Roman"/>
          <w:sz w:val="28"/>
          <w:szCs w:val="28"/>
          <w:lang w:val="uk-UA"/>
        </w:rPr>
        <w:tab/>
        <w:t>4. 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rPr>
      </w:pPr>
      <w:r>
        <w:rPr>
          <w:rFonts w:ascii="Times New Roman" w:hAnsi="Times New Roman"/>
          <w:sz w:val="28"/>
          <w:szCs w:val="28"/>
          <w:lang w:val="uk-UA"/>
        </w:rPr>
        <w:t xml:space="preserve">Міський голова                                       </w:t>
        <w:tab/>
        <w:tab/>
        <w:tab/>
        <w:tab/>
        <w:t xml:space="preserve"> Олександр КОДОЛА</w:t>
      </w:r>
    </w:p>
    <w:p>
      <w:pPr>
        <w:pStyle w:val="Normal"/>
        <w:rPr/>
      </w:pPr>
      <w:r>
        <w:rPr/>
      </w:r>
    </w:p>
    <w:tbl>
      <w:tblPr>
        <w:tblW w:w="10151"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5209"/>
        <w:gridCol w:w="4942"/>
      </w:tblGrid>
      <w:tr>
        <w:trPr/>
        <w:tc>
          <w:tcPr>
            <w:tcW w:w="5209" w:type="dxa"/>
            <w:tcBorders/>
          </w:tcPr>
          <w:tbl>
            <w:tblPr>
              <w:tblW w:w="10155" w:type="dxa"/>
              <w:jc w:val="left"/>
              <w:tblInd w:w="324" w:type="dxa"/>
              <w:tblLayout w:type="fixed"/>
              <w:tblCellMar>
                <w:top w:w="0" w:type="dxa"/>
                <w:left w:w="108" w:type="dxa"/>
                <w:bottom w:w="0" w:type="dxa"/>
                <w:right w:w="108" w:type="dxa"/>
              </w:tblCellMar>
              <w:tblLook w:firstRow="1" w:noVBand="1" w:lastRow="0" w:firstColumn="1" w:lastColumn="0" w:noHBand="0" w:val="04a0"/>
            </w:tblPr>
            <w:tblGrid>
              <w:gridCol w:w="10155"/>
            </w:tblGrid>
            <w:tr>
              <w:trPr/>
              <w:tc>
                <w:tcPr>
                  <w:tcW w:w="10155" w:type="dxa"/>
                  <w:tcBorders/>
                </w:tcPr>
                <w:p>
                  <w:pPr>
                    <w:pStyle w:val="Normal"/>
                    <w:tabs>
                      <w:tab w:val="clear" w:pos="708"/>
                      <w:tab w:val="left" w:pos="6096" w:leader="none"/>
                      <w:tab w:val="left" w:pos="6379" w:leader="none"/>
                      <w:tab w:val="left" w:pos="10206" w:leader="none"/>
                    </w:tabs>
                    <w:spacing w:before="0" w:after="200"/>
                    <w:ind w:hanging="0" w:right="2"/>
                    <w:rPr>
                      <w:lang w:val="uk-UA"/>
                    </w:rPr>
                  </w:pPr>
                  <w:r>
                    <w:rPr>
                      <w:lang w:val="uk-UA"/>
                    </w:rPr>
                  </w:r>
                </w:p>
              </w:tc>
            </w:tr>
            <w:tr>
              <w:trPr/>
              <w:tc>
                <w:tcPr>
                  <w:tcW w:w="10155" w:type="dxa"/>
                  <w:tcBorders/>
                </w:tcPr>
                <w:p>
                  <w:pPr>
                    <w:pStyle w:val="Normal"/>
                    <w:spacing w:before="0" w:after="200"/>
                    <w:ind w:firstLine="709"/>
                    <w:rPr>
                      <w:lang w:val="uk-UA"/>
                    </w:rPr>
                  </w:pPr>
                  <w:r>
                    <w:rPr>
                      <w:lang w:val="uk-UA"/>
                    </w:rPr>
                  </w:r>
                </w:p>
              </w:tc>
            </w:tr>
          </w:tbl>
          <w:p>
            <w:pPr>
              <w:pStyle w:val="Normal"/>
              <w:suppressAutoHyphens w:val="false"/>
              <w:spacing w:before="0" w:after="200"/>
              <w:rPr>
                <w:lang w:val="uk-UA"/>
              </w:rPr>
            </w:pPr>
            <w:r>
              <w:rPr>
                <w:lang w:val="uk-UA"/>
              </w:rPr>
            </w:r>
          </w:p>
        </w:tc>
        <w:tc>
          <w:tcPr>
            <w:tcW w:w="4942" w:type="dxa"/>
            <w:tcBorders/>
          </w:tcPr>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Додаток  5</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 xml:space="preserve">Чернігівської області </w:t>
            </w:r>
            <w:r>
              <w:rPr>
                <w:rFonts w:ascii="Times New Roman" w:hAnsi="Times New Roman"/>
                <w:sz w:val="20"/>
                <w:szCs w:val="20"/>
                <w:lang w:val="uk-UA" w:eastAsia="ar-SA"/>
              </w:rPr>
              <w:t>VIII</w:t>
            </w:r>
            <w:r>
              <w:rPr>
                <w:rFonts w:ascii="Times New Roman" w:hAnsi="Times New Roman"/>
                <w:sz w:val="20"/>
                <w:szCs w:val="20"/>
                <w:lang w:val="uk-UA"/>
              </w:rPr>
              <w:t xml:space="preserve">  скликання</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від 24.12.2025 року № 5-52/2025</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(зі змінами від 13.02. 2026 № 11-53/2026</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rPr>
            </w:pPr>
            <w:r>
              <w:rPr>
                <w:rFonts w:ascii="Times New Roman" w:hAnsi="Times New Roman"/>
                <w:sz w:val="20"/>
                <w:szCs w:val="20"/>
                <w:lang w:val="uk-UA"/>
              </w:rPr>
              <w:t>зі змінами від 21.05.2026 № 8-55/2026)</w:t>
            </w:r>
          </w:p>
          <w:p>
            <w:pPr>
              <w:pStyle w:val="Normal"/>
              <w:tabs>
                <w:tab w:val="clear" w:pos="708"/>
                <w:tab w:val="left" w:pos="6096" w:leader="none"/>
                <w:tab w:val="left" w:pos="6379" w:leader="none"/>
                <w:tab w:val="left" w:pos="10206" w:leader="none"/>
              </w:tabs>
              <w:ind w:hanging="0" w:right="2"/>
              <w:rPr>
                <w:rFonts w:ascii="Times New Roman" w:hAnsi="Times New Roman"/>
                <w:sz w:val="20"/>
                <w:szCs w:val="20"/>
                <w:lang w:val="uk-UA"/>
              </w:rPr>
            </w:pPr>
            <w:r>
              <w:rPr>
                <w:rFonts w:ascii="Times New Roman" w:hAnsi="Times New Roman"/>
                <w:sz w:val="20"/>
                <w:szCs w:val="20"/>
                <w:lang w:val="uk-UA"/>
              </w:rPr>
            </w:r>
          </w:p>
          <w:p>
            <w:pPr>
              <w:pStyle w:val="Normal"/>
              <w:tabs>
                <w:tab w:val="clear" w:pos="708"/>
                <w:tab w:val="left" w:pos="6096" w:leader="none"/>
                <w:tab w:val="left" w:pos="6379" w:leader="none"/>
                <w:tab w:val="left" w:pos="10206" w:leader="none"/>
              </w:tabs>
              <w:spacing w:before="0" w:after="200"/>
              <w:ind w:hanging="0" w:right="2"/>
              <w:rPr>
                <w:lang w:val="uk-UA"/>
              </w:rPr>
            </w:pPr>
            <w:r>
              <w:rPr>
                <w:lang w:val="uk-UA"/>
              </w:rPr>
            </w:r>
          </w:p>
        </w:tc>
      </w:tr>
    </w:tbl>
    <w:p>
      <w:pPr>
        <w:pStyle w:val="Normal"/>
        <w:jc w:val="center"/>
        <w:rPr>
          <w:rFonts w:ascii="Times New Roman" w:hAnsi="Times New Roman"/>
          <w:sz w:val="28"/>
          <w:szCs w:val="28"/>
        </w:rPr>
      </w:pPr>
      <w:r>
        <w:rPr>
          <w:rFonts w:ascii="Times New Roman" w:hAnsi="Times New Roman"/>
          <w:b/>
          <w:sz w:val="28"/>
          <w:szCs w:val="28"/>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w:t>
      </w:r>
      <w:bookmarkStart w:id="0" w:name="_Hlk98323885"/>
      <w:bookmarkEnd w:id="0"/>
      <w:r>
        <w:rPr>
          <w:rFonts w:ascii="Times New Roman" w:hAnsi="Times New Roman"/>
          <w:b/>
          <w:sz w:val="28"/>
          <w:szCs w:val="28"/>
          <w:lang w:val="uk-UA"/>
        </w:rPr>
        <w:t>ік</w:t>
      </w:r>
    </w:p>
    <w:p>
      <w:pPr>
        <w:pStyle w:val="Normal"/>
        <w:ind w:hanging="0" w:left="360" w:right="-850"/>
        <w:jc w:val="center"/>
        <w:rPr>
          <w:rFonts w:ascii="Times New Roman" w:hAnsi="Times New Roman"/>
          <w:b/>
          <w:sz w:val="28"/>
          <w:szCs w:val="28"/>
          <w:lang w:val="uk-UA"/>
        </w:rPr>
      </w:pPr>
      <w:r>
        <w:rPr>
          <w:rFonts w:ascii="Times New Roman" w:hAnsi="Times New Roman"/>
          <w:b/>
          <w:sz w:val="28"/>
          <w:szCs w:val="28"/>
          <w:lang w:val="uk-UA"/>
        </w:rPr>
      </w:r>
    </w:p>
    <w:p>
      <w:pPr>
        <w:pStyle w:val="Normal"/>
        <w:ind w:hanging="0" w:left="360"/>
        <w:jc w:val="center"/>
        <w:rPr>
          <w:rFonts w:ascii="Times New Roman" w:hAnsi="Times New Roman"/>
          <w:sz w:val="28"/>
          <w:szCs w:val="28"/>
        </w:rPr>
      </w:pPr>
      <w:r>
        <w:rPr>
          <w:rFonts w:ascii="Times New Roman" w:hAnsi="Times New Roman"/>
          <w:b/>
          <w:sz w:val="28"/>
          <w:szCs w:val="28"/>
          <w:lang w:val="uk-UA"/>
        </w:rPr>
        <w:t xml:space="preserve">І. Паспорт програми </w:t>
      </w:r>
    </w:p>
    <w:tbl>
      <w:tblPr>
        <w:tblW w:w="10173" w:type="dxa"/>
        <w:jc w:val="left"/>
        <w:tblInd w:w="103" w:type="dxa"/>
        <w:tblLayout w:type="fixed"/>
        <w:tblCellMar>
          <w:top w:w="0" w:type="dxa"/>
          <w:left w:w="108" w:type="dxa"/>
          <w:bottom w:w="0" w:type="dxa"/>
          <w:right w:w="108" w:type="dxa"/>
        </w:tblCellMar>
        <w:tblLook w:firstRow="0" w:noVBand="0" w:lastRow="0" w:firstColumn="0" w:lastColumn="0" w:noHBand="0" w:val="0000"/>
      </w:tblPr>
      <w:tblGrid>
        <w:gridCol w:w="534"/>
        <w:gridCol w:w="3966"/>
        <w:gridCol w:w="5673"/>
      </w:tblGrid>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1.</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Ініціатор розроблення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2.</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Законодавча  база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Pr>
                <w:rFonts w:ascii="Times New Roman" w:hAnsi="Times New Roman"/>
                <w:b/>
                <w:sz w:val="28"/>
                <w:szCs w:val="28"/>
                <w:lang w:val="uk-UA"/>
              </w:rPr>
              <w:t>.</w:t>
            </w:r>
            <w:r>
              <w:rPr>
                <w:rFonts w:ascii="Times New Roman" w:hAnsi="Times New Roman"/>
                <w:sz w:val="28"/>
                <w:szCs w:val="28"/>
                <w:lang w:val="uk-UA"/>
              </w:rPr>
              <w:t xml:space="preserve">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rPr>
                <w:rFonts w:ascii="Times New Roman" w:hAnsi="Times New Roman"/>
                <w:sz w:val="28"/>
                <w:szCs w:val="28"/>
              </w:rPr>
            </w:pPr>
            <w:r>
              <w:rPr>
                <w:rFonts w:ascii="Times New Roman" w:hAnsi="Times New Roman"/>
                <w:sz w:val="28"/>
                <w:szCs w:val="28"/>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3.</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Розробник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4.</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Головний розпорядник бюджетних коштів</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Виконавчий комітет Ніжинської міської ради</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5.</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Відповідальні виконавці програми (учасники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Термін реалізації програми</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рік</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6.1</w:t>
            </w:r>
          </w:p>
        </w:tc>
        <w:tc>
          <w:tcPr>
            <w:tcW w:w="39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8"/>
                <w:szCs w:val="28"/>
              </w:rPr>
            </w:pPr>
            <w:r>
              <w:rPr>
                <w:rFonts w:ascii="Times New Roman" w:hAnsi="Times New Roman"/>
                <w:sz w:val="28"/>
                <w:szCs w:val="28"/>
                <w:lang w:val="uk-UA"/>
              </w:rPr>
              <w:t>Етапи виконання програми</w:t>
            </w:r>
          </w:p>
          <w:p>
            <w:pPr>
              <w:pStyle w:val="Normal"/>
              <w:spacing w:before="0" w:after="200"/>
              <w:rPr>
                <w:rFonts w:ascii="Times New Roman" w:hAnsi="Times New Roman"/>
                <w:sz w:val="28"/>
                <w:szCs w:val="28"/>
              </w:rPr>
            </w:pPr>
            <w:r>
              <w:rPr>
                <w:rFonts w:ascii="Times New Roman" w:hAnsi="Times New Roman"/>
                <w:sz w:val="28"/>
                <w:szCs w:val="28"/>
                <w:lang w:val="uk-UA"/>
              </w:rPr>
              <w:t>(</w:t>
            </w:r>
            <w:r>
              <w:rPr>
                <w:rFonts w:ascii="Times New Roman" w:hAnsi="Times New Roman"/>
                <w:i/>
                <w:sz w:val="28"/>
                <w:szCs w:val="28"/>
                <w:lang w:val="uk-UA"/>
              </w:rPr>
              <w:t>для довгострокових програм)</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lang w:val="uk-UA"/>
              </w:rPr>
            </w:pPr>
            <w:r>
              <w:rPr>
                <w:rFonts w:ascii="Times New Roman" w:hAnsi="Times New Roman"/>
                <w:sz w:val="28"/>
                <w:szCs w:val="28"/>
                <w:lang w:val="uk-UA"/>
              </w:rPr>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 xml:space="preserve">Загальний обсяг фінансових ресурсів, в т.ч. кредиторська заборгованість минулих періодів, необхідних для реалізації програми, всього, гривень у </w:t>
            </w:r>
            <w:r>
              <w:rPr>
                <w:rFonts w:ascii="Times New Roman" w:hAnsi="Times New Roman"/>
                <w:spacing w:val="-6"/>
                <w:sz w:val="28"/>
                <w:szCs w:val="28"/>
                <w:lang w:val="uk-UA"/>
              </w:rPr>
              <w:t>тому числі:</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2026 р. –105 773 400</w:t>
            </w:r>
            <w:r>
              <w:rPr>
                <w:rFonts w:ascii="Times New Roman" w:hAnsi="Times New Roman"/>
                <w:bCs/>
                <w:sz w:val="28"/>
                <w:szCs w:val="28"/>
                <w:lang w:val="uk-UA"/>
              </w:rPr>
              <w:t xml:space="preserve">,00 </w:t>
            </w:r>
            <w:r>
              <w:rPr>
                <w:rFonts w:ascii="Times New Roman" w:hAnsi="Times New Roman"/>
                <w:sz w:val="28"/>
                <w:szCs w:val="28"/>
                <w:lang w:val="uk-UA"/>
              </w:rPr>
              <w:t>грн</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7.1</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бюджету Ніжинської МТГ</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2026 р. – 105 304 500,00грн.</w:t>
            </w:r>
          </w:p>
        </w:tc>
      </w:tr>
      <w:tr>
        <w:trPr>
          <w:trHeight w:val="20" w:hRule="atLeast"/>
        </w:trPr>
        <w:tc>
          <w:tcPr>
            <w:tcW w:w="5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7.2</w:t>
            </w:r>
          </w:p>
        </w:tc>
        <w:tc>
          <w:tcPr>
            <w:tcW w:w="396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Кошти  інших джерел</w:t>
            </w:r>
          </w:p>
        </w:tc>
        <w:tc>
          <w:tcPr>
            <w:tcW w:w="56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468 900,00</w:t>
            </w:r>
          </w:p>
        </w:tc>
      </w:tr>
    </w:tbl>
    <w:p>
      <w:pPr>
        <w:pStyle w:val="Normal"/>
        <w:ind w:hanging="0" w:left="360"/>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rPr>
      </w:pPr>
      <w:r>
        <w:rPr>
          <w:rFonts w:ascii="Times New Roman" w:hAnsi="Times New Roman"/>
          <w:b/>
          <w:sz w:val="28"/>
          <w:szCs w:val="28"/>
          <w:lang w:val="uk-UA"/>
        </w:rPr>
        <w:t>ІІ. Визначення проблем,  на розв’язання яких спрямована програма</w:t>
      </w:r>
    </w:p>
    <w:p>
      <w:pPr>
        <w:pStyle w:val="Normal"/>
        <w:ind w:firstLine="708"/>
        <w:jc w:val="both"/>
        <w:rPr>
          <w:rFonts w:ascii="Times New Roman" w:hAnsi="Times New Roman"/>
          <w:sz w:val="28"/>
          <w:szCs w:val="28"/>
        </w:rPr>
      </w:pPr>
      <w:r>
        <w:rPr>
          <w:rFonts w:ascii="Times New Roman" w:hAnsi="Times New Roman"/>
          <w:sz w:val="28"/>
          <w:szCs w:val="28"/>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№2168-VIII,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lang w:val="uk-UA"/>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lang w:val="uk-UA"/>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lang w:val="uk-UA"/>
        </w:rPr>
        <w:t>ветеранів війни та демобілізованих осіб</w:t>
      </w:r>
      <w:r>
        <w:rPr>
          <w:rStyle w:val="fadeinm1hgl8"/>
          <w:rFonts w:ascii="Times New Roman" w:hAnsi="Times New Roman"/>
          <w:sz w:val="28"/>
          <w:szCs w:val="28"/>
          <w:lang w:val="uk-UA"/>
        </w:rPr>
        <w:t>.</w:t>
      </w:r>
    </w:p>
    <w:p>
      <w:pPr>
        <w:pStyle w:val="Normal"/>
        <w:ind w:firstLine="840"/>
        <w:jc w:val="center"/>
        <w:rPr>
          <w:rFonts w:ascii="Times New Roman" w:hAnsi="Times New Roman"/>
          <w:b/>
          <w:sz w:val="28"/>
          <w:szCs w:val="28"/>
          <w:lang w:val="uk-UA"/>
        </w:rPr>
      </w:pPr>
      <w:r>
        <w:rPr>
          <w:rFonts w:ascii="Times New Roman" w:hAnsi="Times New Roman"/>
          <w:b/>
          <w:sz w:val="28"/>
          <w:szCs w:val="28"/>
          <w:lang w:val="uk-UA"/>
        </w:rPr>
      </w:r>
    </w:p>
    <w:p>
      <w:pPr>
        <w:pStyle w:val="Normal"/>
        <w:ind w:firstLine="840"/>
        <w:jc w:val="center"/>
        <w:rPr>
          <w:rFonts w:ascii="Times New Roman" w:hAnsi="Times New Roman"/>
          <w:sz w:val="28"/>
          <w:szCs w:val="28"/>
        </w:rPr>
      </w:pPr>
      <w:r>
        <w:rPr>
          <w:rFonts w:ascii="Times New Roman" w:hAnsi="Times New Roman"/>
          <w:b/>
          <w:sz w:val="28"/>
          <w:szCs w:val="28"/>
          <w:lang w:val="uk-UA"/>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 xml:space="preserve">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 </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lang w:val="uk-UA"/>
        </w:rPr>
        <w:t>ІV.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Фінансування </w:t>
      </w:r>
      <w:r>
        <w:rPr>
          <w:rFonts w:ascii="Times New Roman" w:hAnsi="Times New Roman"/>
          <w:b/>
          <w:sz w:val="28"/>
          <w:szCs w:val="28"/>
          <w:lang w:val="uk-UA"/>
        </w:rPr>
        <w:t xml:space="preserve">Програми </w:t>
      </w:r>
      <w:r>
        <w:rPr>
          <w:rFonts w:ascii="Times New Roman" w:hAnsi="Times New Roman"/>
          <w:sz w:val="28"/>
          <w:szCs w:val="28"/>
          <w:lang w:val="uk-UA"/>
        </w:rPr>
        <w:t xml:space="preserve">протягом 2026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lang w:val="uk-UA"/>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lang w:val="uk-UA"/>
        </w:rPr>
        <w:t>.</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2026 рік.</w:t>
      </w:r>
    </w:p>
    <w:p>
      <w:pPr>
        <w:pStyle w:val="Normal"/>
        <w:ind w:firstLine="709"/>
        <w:jc w:val="both"/>
        <w:rPr/>
      </w:pPr>
      <w:r>
        <w:rPr>
          <w:rStyle w:val="fadeinm1hgl8"/>
          <w:rFonts w:ascii="Times New Roman" w:hAnsi="Times New Roman"/>
          <w:sz w:val="28"/>
          <w:szCs w:val="28"/>
          <w:lang w:val="uk-UA"/>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в заклад фахівців із </w:t>
      </w:r>
      <w:r>
        <w:rPr>
          <w:rFonts w:ascii="Times New Roman" w:hAnsi="Times New Roman"/>
          <w:sz w:val="28"/>
          <w:szCs w:val="28"/>
          <w:lang w:val="uk-UA"/>
        </w:rPr>
        <w:t>супроводу ветеранів війни та демобілізованих осіб</w:t>
      </w:r>
      <w:r>
        <w:rPr>
          <w:rStyle w:val="fadeinm1hgl8"/>
          <w:rFonts w:ascii="Times New Roman" w:hAnsi="Times New Roman"/>
          <w:sz w:val="28"/>
          <w:szCs w:val="28"/>
          <w:lang w:val="uk-UA"/>
        </w:rPr>
        <w:t>та досвід у роботі з вразливими категоріями населення.</w:t>
      </w:r>
    </w:p>
    <w:p>
      <w:pPr>
        <w:pStyle w:val="Normal"/>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tabs>
          <w:tab w:val="clear" w:pos="708"/>
          <w:tab w:val="left" w:pos="0" w:leader="none"/>
        </w:tabs>
        <w:jc w:val="center"/>
        <w:rPr>
          <w:rFonts w:ascii="Times New Roman" w:hAnsi="Times New Roman"/>
          <w:sz w:val="28"/>
          <w:szCs w:val="28"/>
        </w:rPr>
      </w:pPr>
      <w:r>
        <w:rPr>
          <w:rFonts w:ascii="Times New Roman" w:hAnsi="Times New Roman"/>
          <w:b/>
          <w:bCs/>
          <w:sz w:val="28"/>
          <w:szCs w:val="28"/>
          <w:lang w:val="uk-UA"/>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2026 р.</w:t>
      </w:r>
      <w:r>
        <w:rPr>
          <w:rFonts w:ascii="Times New Roman" w:hAnsi="Times New Roman"/>
          <w:color w:val="000000"/>
          <w:sz w:val="28"/>
          <w:szCs w:val="28"/>
          <w:lang w:val="uk-UA"/>
        </w:rPr>
        <w:t xml:space="preserve"> є :</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color w:val="000000"/>
          <w:sz w:val="28"/>
          <w:szCs w:val="28"/>
          <w:lang w:val="uk-UA"/>
        </w:rPr>
        <w:t>збереження і покращення здоров’я населення;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надання спеціалізованої амбулаторної медичної допомоги;</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ListParagraph"/>
        <w:widowControl w:val="false"/>
        <w:numPr>
          <w:ilvl w:val="0"/>
          <w:numId w:val="1"/>
        </w:numPr>
        <w:tabs>
          <w:tab w:val="clear" w:pos="708"/>
          <w:tab w:val="left" w:pos="0" w:leader="none"/>
        </w:tabs>
        <w:spacing w:lineRule="auto" w:line="240"/>
        <w:ind w:firstLine="426" w:left="0"/>
        <w:rPr>
          <w:rFonts w:ascii="Times New Roman" w:hAnsi="Times New Roman"/>
          <w:sz w:val="28"/>
          <w:szCs w:val="28"/>
        </w:rPr>
      </w:pPr>
      <w:r>
        <w:rPr>
          <w:rFonts w:ascii="Times New Roman" w:hAnsi="Times New Roman"/>
          <w:sz w:val="28"/>
          <w:szCs w:val="28"/>
          <w:lang w:val="uk-UA"/>
        </w:rPr>
        <w:t>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своєчасного визначення показань для призначення профілактичних щеплень проти сказу та правця;</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гарантування підтримки системи охорони здоров’я в галузі протидії захворювання на сказ та правець, забезпечення адекватним та стабільним фінансуванням;</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регулярне забезпечення відповідно потреби, адекватне управління та використання препаратів;</w:t>
      </w:r>
    </w:p>
    <w:p>
      <w:pPr>
        <w:pStyle w:val="ListParagraph"/>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забезпечення моніторингу та оцінки ефективності і результативності програмних заходів.</w:t>
      </w:r>
    </w:p>
    <w:p>
      <w:pPr>
        <w:pStyle w:val="ListParagraph"/>
        <w:widowControl w:val="false"/>
        <w:numPr>
          <w:ilvl w:val="0"/>
          <w:numId w:val="1"/>
        </w:numPr>
        <w:spacing w:lineRule="auto" w:line="240"/>
        <w:ind w:firstLine="426" w:left="0"/>
        <w:rPr>
          <w:rFonts w:ascii="Times New Roman" w:hAnsi="Times New Roman"/>
          <w:sz w:val="28"/>
          <w:szCs w:val="28"/>
        </w:rPr>
      </w:pPr>
      <w:r>
        <w:rPr>
          <w:rFonts w:ascii="Times New Roman" w:hAnsi="Times New Roman"/>
          <w:sz w:val="28"/>
          <w:szCs w:val="28"/>
          <w:lang w:val="uk-UA"/>
        </w:rPr>
        <w:t>покращення рівня громадського здоров’я  внаслідок проведення заходів з імунопрофілактики населення;</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дотримання нормативів, норм, стандартів, порядків і правил при наданні медичних послуг;</w:t>
      </w:r>
    </w:p>
    <w:p>
      <w:pPr>
        <w:pStyle w:val="ListParagraph"/>
        <w:widowControl w:val="false"/>
        <w:spacing w:lineRule="auto" w:line="240"/>
        <w:ind w:firstLine="426" w:left="0"/>
        <w:rPr>
          <w:rFonts w:ascii="Times New Roman" w:hAnsi="Times New Roman"/>
          <w:sz w:val="28"/>
          <w:szCs w:val="28"/>
        </w:rPr>
      </w:pPr>
      <w:r>
        <w:rPr>
          <w:rFonts w:ascii="Times New Roman" w:hAnsi="Times New Roman"/>
          <w:sz w:val="28"/>
          <w:szCs w:val="28"/>
          <w:lang w:val="uk-UA"/>
        </w:rPr>
        <w:t>- формування у населення навичок здорового способу життя;</w:t>
      </w:r>
    </w:p>
    <w:p>
      <w:pPr>
        <w:pStyle w:val="ListParagraph"/>
        <w:widowControl w:val="false"/>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sz w:val="28"/>
          <w:szCs w:val="28"/>
          <w:lang w:val="uk-UA"/>
        </w:rPr>
        <w:t>- забезпечення належної л</w:t>
      </w:r>
      <w:r>
        <w:rPr>
          <w:rFonts w:ascii="Times New Roman" w:hAnsi="Times New Roman"/>
          <w:color w:val="000000"/>
          <w:sz w:val="28"/>
          <w:szCs w:val="28"/>
          <w:lang w:val="uk-UA"/>
        </w:rPr>
        <w:t>ікарсько-акушерської допомоги вагітним, породіллям, новонародженим та медичної допомоги гінекологічним хворим;</w:t>
      </w:r>
    </w:p>
    <w:p>
      <w:pPr>
        <w:pStyle w:val="ListParagraph"/>
        <w:widowControl w:val="false"/>
        <w:numPr>
          <w:ilvl w:val="0"/>
          <w:numId w:val="1"/>
        </w:numPr>
        <w:tabs>
          <w:tab w:val="clear" w:pos="708"/>
          <w:tab w:val="left" w:pos="426" w:leader="none"/>
        </w:tabs>
        <w:spacing w:lineRule="auto" w:line="240"/>
        <w:ind w:firstLine="426" w:left="0"/>
        <w:rPr>
          <w:rFonts w:ascii="Times New Roman" w:hAnsi="Times New Roman"/>
          <w:sz w:val="28"/>
          <w:szCs w:val="28"/>
        </w:rPr>
      </w:pPr>
      <w:r>
        <w:rPr>
          <w:rFonts w:ascii="Times New Roman" w:hAnsi="Times New Roman"/>
          <w:color w:val="000000"/>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ListParagraph"/>
        <w:widowControl w:val="false"/>
        <w:numPr>
          <w:ilvl w:val="0"/>
          <w:numId w:val="1"/>
        </w:numPr>
        <w:tabs>
          <w:tab w:val="clear" w:pos="708"/>
          <w:tab w:val="left" w:pos="426" w:leader="none"/>
        </w:tabs>
        <w:spacing w:lineRule="auto" w:line="240"/>
        <w:ind w:hanging="0" w:left="426"/>
        <w:rPr>
          <w:rFonts w:ascii="Times New Roman" w:hAnsi="Times New Roman"/>
          <w:sz w:val="28"/>
          <w:szCs w:val="28"/>
        </w:rPr>
      </w:pPr>
      <w:r>
        <w:rPr>
          <w:rFonts w:ascii="Times New Roman" w:hAnsi="Times New Roman"/>
          <w:sz w:val="28"/>
          <w:szCs w:val="28"/>
          <w:lang w:val="uk-UA"/>
        </w:rPr>
        <w:t>інші завдання, визначені чинними нормативно-правовими актами.</w:t>
      </w:r>
    </w:p>
    <w:p>
      <w:pPr>
        <w:pStyle w:val="Normal"/>
        <w:widowControl w:val="false"/>
        <w:ind w:hanging="0" w:left="426"/>
        <w:jc w:val="both"/>
        <w:rPr>
          <w:rFonts w:ascii="Times New Roman" w:hAnsi="Times New Roman"/>
          <w:sz w:val="28"/>
          <w:szCs w:val="28"/>
        </w:rPr>
      </w:pPr>
      <w:r>
        <w:rPr>
          <w:rFonts w:ascii="Times New Roman" w:hAnsi="Times New Roman"/>
          <w:sz w:val="28"/>
          <w:szCs w:val="28"/>
          <w:lang w:val="uk-UA"/>
        </w:rPr>
        <w:t>Очікуваними результатами виконання є :</w:t>
      </w:r>
    </w:p>
    <w:p>
      <w:pPr>
        <w:pStyle w:val="Normal"/>
        <w:widowControl w:val="false"/>
        <w:ind w:firstLine="426"/>
        <w:jc w:val="both"/>
        <w:rPr>
          <w:rFonts w:ascii="Times New Roman" w:hAnsi="Times New Roman"/>
          <w:sz w:val="28"/>
          <w:szCs w:val="28"/>
        </w:rPr>
      </w:pPr>
      <w:r>
        <w:rPr>
          <w:rFonts w:ascii="Times New Roman" w:hAnsi="Times New Roman"/>
          <w:color w:val="000000"/>
          <w:sz w:val="28"/>
          <w:szCs w:val="28"/>
          <w:lang w:val="uk-UA"/>
        </w:rPr>
        <w:t>- гарантована можливість надання  населенню належної вторинної медичної допомоги;</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підвищення ефективності роботи закладу;</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забезпечення збереження та подальше зміцнення матеріально-технічної бази, її модернізація;</w:t>
      </w:r>
    </w:p>
    <w:p>
      <w:pPr>
        <w:pStyle w:val="Normal"/>
        <w:widowControl w:val="false"/>
        <w:ind w:firstLine="426"/>
        <w:jc w:val="both"/>
        <w:rPr>
          <w:rFonts w:ascii="Times New Roman" w:hAnsi="Times New Roman"/>
          <w:sz w:val="28"/>
          <w:szCs w:val="28"/>
        </w:rPr>
      </w:pPr>
      <w:r>
        <w:rPr>
          <w:rFonts w:ascii="Times New Roman" w:hAnsi="Times New Roman"/>
          <w:sz w:val="28"/>
          <w:szCs w:val="28"/>
          <w:lang w:val="uk-UA"/>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З метою забезпечення населення вторинною медичною допомогою в межах П</w:t>
      </w:r>
      <w:r>
        <w:rPr>
          <w:rFonts w:ascii="Times New Roman" w:hAnsi="Times New Roman"/>
          <w:color w:val="000000"/>
          <w:sz w:val="28"/>
          <w:szCs w:val="28"/>
          <w:lang w:val="uk-UA"/>
        </w:rPr>
        <w:t xml:space="preserve">рограми </w:t>
      </w:r>
      <w:r>
        <w:rPr>
          <w:rFonts w:ascii="Times New Roman" w:hAnsi="Times New Roman"/>
          <w:sz w:val="28"/>
          <w:szCs w:val="28"/>
          <w:lang w:val="uk-UA"/>
        </w:rPr>
        <w:t>передбачається здійснення заходів: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та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праці з нарахуванням  фахівця  із супроводу ветеранів війни та демобілізованих осіб</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відрядних лікарям-інтернам;</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оплата за енергоносії та оплата послуг по вивозу та захороненню твердих побутових </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відходів;</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-оплата за енергосервіс;</w:t>
      </w:r>
    </w:p>
    <w:p>
      <w:pPr>
        <w:pStyle w:val="Normal"/>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пільгових пенсій за розрахунками Пенсійного фонду;</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 оплата послуг (крім комунальних) в тому числі: оплата послуг по поточному ремонту; поточного ремонту - заміна віконних блоків на металопластикові в хірургічному відділенні №2 по вул. Академіка Амосова, 1, встановлення пожежної сигналізації; оплата послуг по технічному обслуговуванню техніки; оплата послуг по страхуванню згідно чинного законодавства; оплата послуг з проведення навчань персоналу; тощо.</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-інші поточні видатки, земельний податок.</w:t>
      </w:r>
    </w:p>
    <w:p>
      <w:pPr>
        <w:pStyle w:val="Normal"/>
        <w:widowControl w:val="false"/>
        <w:tabs>
          <w:tab w:val="clear" w:pos="708"/>
          <w:tab w:val="left" w:pos="0" w:leader="none"/>
        </w:tabs>
        <w:ind w:firstLine="426"/>
        <w:jc w:val="both"/>
        <w:rPr>
          <w:rFonts w:ascii="Times New Roman" w:hAnsi="Times New Roman"/>
          <w:sz w:val="28"/>
          <w:szCs w:val="28"/>
        </w:rPr>
      </w:pPr>
      <w:r>
        <w:rPr>
          <w:rFonts w:ascii="Times New Roman" w:hAnsi="Times New Roman"/>
          <w:sz w:val="28"/>
          <w:szCs w:val="28"/>
          <w:lang w:val="uk-UA"/>
        </w:rPr>
        <w:t>-проведення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lang w:val="uk-UA"/>
        </w:rPr>
        <w:t>В тому числі у розрізі завдань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pPr>
      <w:r>
        <w:rPr>
          <w:rFonts w:ascii="Times New Roman" w:hAnsi="Times New Roman"/>
          <w:b/>
          <w:sz w:val="28"/>
          <w:szCs w:val="28"/>
          <w:lang w:val="uk-UA"/>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lang w:val="uk-UA"/>
        </w:rPr>
        <w:t>лікарсько-акушерська допомога вагітним, породіллям та новонародженим</w:t>
      </w:r>
    </w:p>
    <w:p>
      <w:pPr>
        <w:pStyle w:val="Normal"/>
        <w:ind w:hanging="0" w:right="-5"/>
        <w:jc w:val="both"/>
        <w:rPr>
          <w:rFonts w:ascii="Times New Roman" w:hAnsi="Times New Roman"/>
          <w:b/>
          <w:bCs/>
          <w:i w:val="false"/>
          <w:iCs w:val="false"/>
          <w:sz w:val="28"/>
          <w:szCs w:val="28"/>
          <w:shd w:fill="FFFFFF" w:val="clear"/>
          <w:lang w:val="uk-UA"/>
        </w:rPr>
      </w:pPr>
      <w:r>
        <w:rPr>
          <w:rFonts w:ascii="Times New Roman" w:hAnsi="Times New Roman"/>
          <w:b/>
          <w:bCs/>
          <w:i w:val="false"/>
          <w:iCs w:val="false"/>
          <w:sz w:val="28"/>
          <w:szCs w:val="28"/>
          <w:shd w:fill="FFFFFF" w:val="clear"/>
          <w:lang w:val="uk-UA"/>
        </w:rPr>
      </w:r>
    </w:p>
    <w:tbl>
      <w:tblPr>
        <w:tblW w:w="6799" w:type="dxa"/>
        <w:jc w:val="left"/>
        <w:tblInd w:w="1415" w:type="dxa"/>
        <w:tblLayout w:type="fixed"/>
        <w:tblCellMar>
          <w:top w:w="0" w:type="dxa"/>
          <w:left w:w="108" w:type="dxa"/>
          <w:bottom w:w="0" w:type="dxa"/>
          <w:right w:w="108" w:type="dxa"/>
        </w:tblCellMar>
        <w:tblLook w:firstRow="1" w:noVBand="0" w:lastRow="0" w:firstColumn="1" w:lastColumn="0" w:noHBand="0" w:val="00a0"/>
      </w:tblPr>
      <w:tblGrid>
        <w:gridCol w:w="4502"/>
        <w:gridCol w:w="2297"/>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229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12</w:t>
            </w:r>
            <w:r>
              <w:rPr>
                <w:rFonts w:ascii="Times New Roman" w:hAnsi="Times New Roman"/>
                <w:sz w:val="28"/>
                <w:szCs w:val="28"/>
              </w:rPr>
              <w:t xml:space="preserve"> </w:t>
            </w:r>
            <w:r>
              <w:rPr>
                <w:rFonts w:ascii="Times New Roman" w:hAnsi="Times New Roman"/>
                <w:sz w:val="28"/>
                <w:szCs w:val="28"/>
                <w:lang w:val="uk-UA"/>
              </w:rPr>
              <w:t>78</w:t>
            </w:r>
            <w:r>
              <w:rPr>
                <w:rFonts w:ascii="Times New Roman" w:hAnsi="Times New Roman"/>
                <w:sz w:val="28"/>
                <w:szCs w:val="28"/>
              </w:rPr>
              <w:t>0 000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2 </w:t>
            </w:r>
            <w:r>
              <w:rPr>
                <w:rFonts w:ascii="Times New Roman" w:hAnsi="Times New Roman"/>
                <w:sz w:val="28"/>
                <w:szCs w:val="28"/>
                <w:lang w:val="uk-UA"/>
              </w:rPr>
              <w:t>570 000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Предмети, матеріали, обладнання та інвентар</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530 500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 та перев'язувальні матеріали</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9 573 800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послуг крім комунальних</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250 000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Видатки на відрядження</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337 700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b/>
                <w:sz w:val="28"/>
                <w:szCs w:val="28"/>
                <w:lang w:val="uk-UA"/>
              </w:rPr>
              <w:t>Оплата комунальних послуг та енергоносіїв, у т.ч.</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rPr>
              <w:t>27</w:t>
            </w:r>
            <w:r>
              <w:rPr>
                <w:rFonts w:ascii="Times New Roman" w:hAnsi="Times New Roman"/>
                <w:b/>
                <w:bCs/>
                <w:sz w:val="28"/>
                <w:szCs w:val="28"/>
                <w:lang w:val="uk-UA"/>
              </w:rPr>
              <w:t> </w:t>
            </w:r>
            <w:r>
              <w:rPr>
                <w:rFonts w:ascii="Times New Roman" w:hAnsi="Times New Roman"/>
                <w:b/>
                <w:bCs/>
                <w:sz w:val="28"/>
                <w:szCs w:val="28"/>
              </w:rPr>
              <w:t>156</w:t>
            </w:r>
            <w:r>
              <w:rPr>
                <w:rFonts w:ascii="Times New Roman" w:hAnsi="Times New Roman"/>
                <w:b/>
                <w:bCs/>
                <w:sz w:val="28"/>
                <w:szCs w:val="28"/>
                <w:lang w:val="uk-UA"/>
              </w:rPr>
              <w:t xml:space="preserve"> </w:t>
            </w:r>
            <w:r>
              <w:rPr>
                <w:rFonts w:ascii="Times New Roman" w:hAnsi="Times New Roman"/>
                <w:b/>
                <w:bCs/>
                <w:sz w:val="28"/>
                <w:szCs w:val="28"/>
              </w:rPr>
              <w:t>900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теплопостачання</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14</w:t>
            </w:r>
            <w:r>
              <w:rPr>
                <w:rFonts w:ascii="Times New Roman" w:hAnsi="Times New Roman"/>
                <w:sz w:val="28"/>
                <w:szCs w:val="28"/>
                <w:lang w:val="uk-UA"/>
              </w:rPr>
              <w:t> </w:t>
            </w:r>
            <w:r>
              <w:rPr>
                <w:rFonts w:ascii="Times New Roman" w:hAnsi="Times New Roman"/>
                <w:sz w:val="28"/>
                <w:szCs w:val="28"/>
              </w:rPr>
              <w:t>103</w:t>
            </w:r>
            <w:r>
              <w:rPr>
                <w:rFonts w:ascii="Times New Roman" w:hAnsi="Times New Roman"/>
                <w:sz w:val="28"/>
                <w:szCs w:val="28"/>
                <w:lang w:val="uk-UA"/>
              </w:rPr>
              <w:t xml:space="preserve"> </w:t>
            </w:r>
            <w:r>
              <w:rPr>
                <w:rFonts w:ascii="Times New Roman" w:hAnsi="Times New Roman"/>
                <w:sz w:val="28"/>
                <w:szCs w:val="28"/>
              </w:rPr>
              <w:t>700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водопостачання та водовідведення</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 xml:space="preserve"> </w:t>
            </w:r>
            <w:r>
              <w:rPr>
                <w:rFonts w:ascii="Times New Roman" w:hAnsi="Times New Roman"/>
                <w:sz w:val="28"/>
                <w:szCs w:val="28"/>
              </w:rPr>
              <w:t>689</w:t>
            </w:r>
            <w:r>
              <w:rPr>
                <w:rFonts w:ascii="Times New Roman" w:hAnsi="Times New Roman"/>
                <w:sz w:val="28"/>
                <w:szCs w:val="28"/>
                <w:lang w:val="uk-UA"/>
              </w:rPr>
              <w:t xml:space="preserve"> </w:t>
            </w:r>
            <w:r>
              <w:rPr>
                <w:rFonts w:ascii="Times New Roman" w:hAnsi="Times New Roman"/>
                <w:sz w:val="28"/>
                <w:szCs w:val="28"/>
              </w:rPr>
              <w:t>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електроенергії</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9</w:t>
            </w:r>
            <w:r>
              <w:rPr>
                <w:rFonts w:ascii="Times New Roman" w:hAnsi="Times New Roman"/>
                <w:sz w:val="28"/>
                <w:szCs w:val="28"/>
                <w:lang w:val="uk-UA"/>
              </w:rPr>
              <w:t> </w:t>
            </w:r>
            <w:r>
              <w:rPr>
                <w:rFonts w:ascii="Times New Roman" w:hAnsi="Times New Roman"/>
                <w:sz w:val="28"/>
                <w:szCs w:val="28"/>
              </w:rPr>
              <w:t>398</w:t>
            </w:r>
            <w:r>
              <w:rPr>
                <w:rFonts w:ascii="Times New Roman" w:hAnsi="Times New Roman"/>
                <w:sz w:val="28"/>
                <w:szCs w:val="28"/>
                <w:lang w:val="uk-UA"/>
              </w:rPr>
              <w:t xml:space="preserve"> </w:t>
            </w:r>
            <w:r>
              <w:rPr>
                <w:rFonts w:ascii="Times New Roman" w:hAnsi="Times New Roman"/>
                <w:sz w:val="28"/>
                <w:szCs w:val="28"/>
              </w:rPr>
              <w:t>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інших енергоносіїв</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619 800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Оплата енергосервісу</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 xml:space="preserve"> </w:t>
            </w:r>
            <w:r>
              <w:rPr>
                <w:rFonts w:ascii="Times New Roman" w:hAnsi="Times New Roman"/>
                <w:sz w:val="28"/>
                <w:szCs w:val="28"/>
              </w:rPr>
              <w:t>345</w:t>
            </w:r>
            <w:r>
              <w:rPr>
                <w:rFonts w:ascii="Times New Roman" w:hAnsi="Times New Roman"/>
                <w:sz w:val="28"/>
                <w:szCs w:val="28"/>
                <w:lang w:val="uk-UA"/>
              </w:rPr>
              <w:t xml:space="preserve"> </w:t>
            </w:r>
            <w:r>
              <w:rPr>
                <w:rFonts w:ascii="Times New Roman" w:hAnsi="Times New Roman"/>
                <w:sz w:val="28"/>
                <w:szCs w:val="28"/>
              </w:rPr>
              <w:t>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Пільгові пенсії</w:t>
            </w:r>
          </w:p>
        </w:tc>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500</w:t>
            </w:r>
            <w:r>
              <w:rPr>
                <w:rFonts w:ascii="Times New Roman" w:hAnsi="Times New Roman"/>
                <w:sz w:val="28"/>
                <w:szCs w:val="28"/>
              </w:rPr>
              <w:t xml:space="preserve"> </w:t>
            </w:r>
            <w:r>
              <w:rPr>
                <w:rFonts w:ascii="Times New Roman" w:hAnsi="Times New Roman"/>
                <w:sz w:val="28"/>
                <w:szCs w:val="28"/>
                <w:lang w:val="uk-UA"/>
              </w:rPr>
              <w:t>0</w:t>
            </w:r>
            <w:r>
              <w:rPr>
                <w:rFonts w:ascii="Times New Roman" w:hAnsi="Times New Roman"/>
                <w:sz w:val="28"/>
                <w:szCs w:val="28"/>
              </w:rPr>
              <w:t>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lang w:val="uk-UA"/>
              </w:rPr>
              <w:t>Інші видатки</w:t>
            </w:r>
          </w:p>
        </w:tc>
        <w:tc>
          <w:tcPr>
            <w:tcW w:w="229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350 000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Разом:</w:t>
            </w:r>
          </w:p>
        </w:tc>
        <w:tc>
          <w:tcPr>
            <w:tcW w:w="2297"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rPr>
              <w:t>54 048 900</w:t>
            </w:r>
          </w:p>
        </w:tc>
      </w:tr>
    </w:tbl>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color w:val="FF0000"/>
          <w:sz w:val="28"/>
          <w:szCs w:val="28"/>
          <w:lang w:val="uk-UA"/>
        </w:rPr>
      </w:pPr>
      <w:r>
        <w:rPr>
          <w:rFonts w:ascii="Times New Roman" w:hAnsi="Times New Roman"/>
          <w:color w:val="FF0000"/>
          <w:sz w:val="28"/>
          <w:szCs w:val="28"/>
          <w:lang w:val="uk-UA"/>
        </w:rPr>
      </w:r>
    </w:p>
    <w:p>
      <w:pPr>
        <w:pStyle w:val="Normal"/>
        <w:suppressAutoHyphens w:val="false"/>
        <w:spacing w:lineRule="auto" w:line="360"/>
        <w:jc w:val="both"/>
        <w:rPr>
          <w:rFonts w:ascii="Times New Roman" w:hAnsi="Times New Roman"/>
          <w:sz w:val="28"/>
          <w:szCs w:val="28"/>
        </w:rPr>
      </w:pPr>
      <w:r>
        <w:rPr>
          <w:rFonts w:ascii="Times New Roman" w:hAnsi="Times New Roman"/>
          <w:sz w:val="28"/>
          <w:szCs w:val="28"/>
          <w:lang w:val="uk-UA"/>
        </w:rPr>
        <w:t>Капітальні видатки</w:t>
      </w:r>
    </w:p>
    <w:tbl>
      <w:tblPr>
        <w:tblStyle w:val="a5"/>
        <w:tblW w:w="1012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4"/>
        <w:gridCol w:w="8083"/>
        <w:gridCol w:w="1474"/>
      </w:tblGrid>
      <w:tr>
        <w:trPr/>
        <w:tc>
          <w:tcPr>
            <w:tcW w:w="56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 xml:space="preserve">№ </w:t>
            </w:r>
            <w:r>
              <w:rPr>
                <w:rFonts w:ascii="Times New Roman" w:hAnsi="Times New Roman"/>
                <w:kern w:val="0"/>
                <w:sz w:val="28"/>
                <w:szCs w:val="28"/>
                <w:lang w:val="uk-UA" w:bidi="ar-SA"/>
              </w:rPr>
              <w:t>з/п</w:t>
            </w:r>
          </w:p>
        </w:tc>
        <w:tc>
          <w:tcPr>
            <w:tcW w:w="8083"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Назва</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2026 рік</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1</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будівлі допоміжного корпусу по вул. Академіка Амосова, 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7 500 000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2</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Капітальний ремонт з</w:t>
            </w:r>
            <w:r>
              <w:rPr>
                <w:rFonts w:ascii="Times New Roman" w:hAnsi="Times New Roman"/>
                <w:bCs/>
                <w:kern w:val="0"/>
                <w:sz w:val="28"/>
                <w:szCs w:val="28"/>
                <w:lang w:val="uk-UA" w:bidi="ar-SA"/>
              </w:rPr>
              <w:t>аміни вікон в кардіологічному відділенні</w:t>
            </w:r>
            <w:r>
              <w:rPr>
                <w:rFonts w:ascii="Times New Roman" w:hAnsi="Times New Roman"/>
                <w:kern w:val="0"/>
                <w:sz w:val="28"/>
                <w:szCs w:val="28"/>
                <w:shd w:fill="FFFFFF" w:val="clear"/>
                <w:lang w:val="uk-UA" w:bidi="ar-SA"/>
              </w:rPr>
              <w:t xml:space="preserve"> 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bCs/>
                <w:kern w:val="0"/>
                <w:sz w:val="28"/>
                <w:szCs w:val="28"/>
                <w:lang w:val="uk-UA" w:bidi="ar-SA"/>
              </w:rPr>
              <w:t>800 000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3</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bidi="ar-SA"/>
              </w:rPr>
              <w:t xml:space="preserve">Капітальний ремонт встановлення </w:t>
            </w:r>
            <w:r>
              <w:rPr>
                <w:rFonts w:ascii="Times New Roman" w:hAnsi="Times New Roman"/>
                <w:kern w:val="0"/>
                <w:sz w:val="28"/>
                <w:szCs w:val="28"/>
                <w:lang w:val="uk-UA" w:bidi="ar-SA"/>
              </w:rPr>
              <w:t>резервного джерела живлення</w:t>
            </w:r>
            <w:r>
              <w:rPr>
                <w:rFonts w:ascii="Times New Roman" w:hAnsi="Times New Roman"/>
                <w:kern w:val="0"/>
                <w:sz w:val="28"/>
                <w:szCs w:val="28"/>
                <w:lang w:bidi="ar-SA"/>
              </w:rPr>
              <w:t xml:space="preserve"> генератора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ListParagraph"/>
              <w:widowControl/>
              <w:numPr>
                <w:ilvl w:val="0"/>
                <w:numId w:val="0"/>
              </w:numPr>
              <w:spacing w:before="0" w:after="0"/>
              <w:ind w:hanging="0" w:left="0"/>
              <w:contextualSpacing/>
              <w:jc w:val="center"/>
              <w:rPr>
                <w:rFonts w:ascii="Times New Roman" w:hAnsi="Times New Roman"/>
                <w:kern w:val="0"/>
                <w:sz w:val="28"/>
                <w:szCs w:val="28"/>
                <w:lang w:bidi="ar-SA"/>
              </w:rPr>
            </w:pPr>
            <w:r>
              <w:rPr>
                <w:rFonts w:ascii="Times New Roman" w:hAnsi="Times New Roman"/>
                <w:kern w:val="0"/>
                <w:sz w:val="28"/>
                <w:szCs w:val="28"/>
                <w:lang w:val="uk-UA" w:bidi="ar-SA"/>
              </w:rPr>
              <w:t xml:space="preserve">900 </w:t>
            </w:r>
            <w:r>
              <w:rPr>
                <w:rFonts w:ascii="Times New Roman" w:hAnsi="Times New Roman"/>
                <w:kern w:val="0"/>
                <w:sz w:val="28"/>
                <w:szCs w:val="28"/>
                <w:lang w:bidi="ar-SA"/>
              </w:rPr>
              <w:t>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4</w:t>
            </w:r>
          </w:p>
        </w:tc>
        <w:tc>
          <w:tcPr>
            <w:tcW w:w="8083" w:type="dxa"/>
            <w:tcBorders/>
          </w:tcPr>
          <w:p>
            <w:pPr>
              <w:pStyle w:val="ListParagraph"/>
              <w:widowControl/>
              <w:tabs>
                <w:tab w:val="clear" w:pos="708"/>
                <w:tab w:val="left" w:pos="-284" w:leader="none"/>
              </w:tabs>
              <w:spacing w:lineRule="auto" w:line="240" w:before="0" w:after="0"/>
              <w:ind w:hanging="0" w:left="37"/>
              <w:contextualSpacing/>
              <w:rPr>
                <w:rFonts w:ascii="Times New Roman" w:hAnsi="Times New Roman"/>
                <w:kern w:val="0"/>
                <w:sz w:val="28"/>
                <w:szCs w:val="28"/>
                <w:lang w:bidi="ar-SA"/>
              </w:rPr>
            </w:pPr>
            <w:r>
              <w:rPr>
                <w:rFonts w:ascii="Times New Roman" w:hAnsi="Times New Roman"/>
                <w:kern w:val="0"/>
                <w:sz w:val="28"/>
                <w:szCs w:val="28"/>
                <w:lang w:val="uk-UA" w:bidi="ar-SA"/>
              </w:rPr>
              <w:t>Виготовлення п</w:t>
            </w:r>
            <w:r>
              <w:rPr>
                <w:rFonts w:ascii="Times New Roman" w:hAnsi="Times New Roman"/>
                <w:kern w:val="0"/>
                <w:sz w:val="28"/>
                <w:szCs w:val="28"/>
                <w:lang w:bidi="ar-SA"/>
              </w:rPr>
              <w:t>роектно кошторисн</w:t>
            </w:r>
            <w:r>
              <w:rPr>
                <w:rFonts w:ascii="Times New Roman" w:hAnsi="Times New Roman"/>
                <w:kern w:val="0"/>
                <w:sz w:val="28"/>
                <w:szCs w:val="28"/>
                <w:lang w:val="uk-UA" w:bidi="ar-SA"/>
              </w:rPr>
              <w:t>ої</w:t>
            </w:r>
            <w:r>
              <w:rPr>
                <w:rFonts w:ascii="Times New Roman" w:hAnsi="Times New Roman"/>
                <w:kern w:val="0"/>
                <w:sz w:val="28"/>
                <w:szCs w:val="28"/>
                <w:lang w:bidi="ar-SA"/>
              </w:rPr>
              <w:t xml:space="preserve"> документаці</w:t>
            </w:r>
            <w:r>
              <w:rPr>
                <w:rFonts w:ascii="Times New Roman" w:hAnsi="Times New Roman"/>
                <w:kern w:val="0"/>
                <w:sz w:val="28"/>
                <w:szCs w:val="28"/>
                <w:lang w:val="uk-UA" w:bidi="ar-SA"/>
              </w:rPr>
              <w:t>ї</w:t>
            </w:r>
            <w:r>
              <w:rPr>
                <w:rFonts w:ascii="Times New Roman" w:hAnsi="Times New Roman"/>
                <w:kern w:val="0"/>
                <w:sz w:val="28"/>
                <w:szCs w:val="28"/>
                <w:lang w:bidi="ar-SA"/>
              </w:rPr>
              <w:t xml:space="preserve"> на укриття</w:t>
            </w:r>
            <w:r>
              <w:rPr>
                <w:rFonts w:ascii="Times New Roman" w:hAnsi="Times New Roman"/>
                <w:kern w:val="0"/>
                <w:sz w:val="28"/>
                <w:szCs w:val="28"/>
                <w:lang w:val="uk-UA" w:bidi="ar-SA"/>
              </w:rPr>
              <w:t xml:space="preserve"> на </w:t>
            </w:r>
            <w:r>
              <w:rPr>
                <w:rFonts w:ascii="Times New Roman" w:hAnsi="Times New Roman"/>
                <w:kern w:val="0"/>
                <w:sz w:val="28"/>
                <w:szCs w:val="28"/>
                <w:lang w:bidi="ar-SA"/>
              </w:rPr>
              <w:t>ПРУ під головним корпусом (Станіслава Прощенка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5</w:t>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Ремонт покрівлі поліклініки, блок А по вул. Прощенка Станіслава, 21А</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6</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kern w:val="0"/>
                <w:sz w:val="28"/>
                <w:szCs w:val="28"/>
                <w:lang w:val="uk-UA" w:bidi="ar-SA"/>
              </w:rPr>
              <w:t>Капітальний ремонт частини будівлі головного корпусу по вул..Академіка Амосова 1, під відділення реабілітації</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2 000 000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7</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системи кисневої мережі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750 000</w:t>
            </w:r>
            <w:bookmarkStart w:id="1" w:name="_Hlk227148295"/>
            <w:bookmarkEnd w:id="1"/>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8</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санвузлів головного корпусу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900 000</w:t>
            </w:r>
          </w:p>
        </w:tc>
      </w:tr>
      <w:tr>
        <w:trPr/>
        <w:tc>
          <w:tcPr>
            <w:tcW w:w="564"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9</w:t>
            </w:r>
          </w:p>
        </w:tc>
        <w:tc>
          <w:tcPr>
            <w:tcW w:w="8083" w:type="dxa"/>
            <w:tcBorders/>
          </w:tcPr>
          <w:p>
            <w:pPr>
              <w:pStyle w:val="Normal"/>
              <w:widowControl/>
              <w:spacing w:before="0" w:after="0"/>
              <w:ind w:hanging="0" w:right="-6"/>
              <w:jc w:val="both"/>
              <w:rPr>
                <w:rFonts w:ascii="Times New Roman" w:hAnsi="Times New Roman"/>
                <w:kern w:val="0"/>
                <w:sz w:val="28"/>
                <w:szCs w:val="28"/>
                <w:lang w:bidi="ar-SA"/>
              </w:rPr>
            </w:pPr>
            <w:r>
              <w:rPr>
                <w:rFonts w:ascii="Times New Roman" w:hAnsi="Times New Roman"/>
                <w:bCs/>
                <w:kern w:val="0"/>
                <w:sz w:val="28"/>
                <w:szCs w:val="28"/>
                <w:lang w:val="uk-UA" w:bidi="ar-SA"/>
              </w:rPr>
              <w:t xml:space="preserve">Капітальний ремонт інфекційного відділення </w:t>
            </w:r>
            <w:r>
              <w:rPr>
                <w:rFonts w:ascii="Times New Roman" w:hAnsi="Times New Roman"/>
                <w:kern w:val="0"/>
                <w:sz w:val="28"/>
                <w:szCs w:val="28"/>
                <w:shd w:fill="FFFFFF" w:val="clear"/>
                <w:lang w:val="uk-UA" w:bidi="ar-SA"/>
              </w:rPr>
              <w:t>КНП "Ніжинська центральна міська лікарня імені Миколи Галицького" за адресою: Чернігівська обл., м.  Ніжин вул. Прощенка Станіслава, 21 та виготовлення ПКД</w:t>
            </w:r>
          </w:p>
        </w:tc>
        <w:tc>
          <w:tcPr>
            <w:tcW w:w="1474" w:type="dxa"/>
            <w:tcBorders/>
          </w:tcPr>
          <w:p>
            <w:pPr>
              <w:pStyle w:val="Normal"/>
              <w:widowControl/>
              <w:spacing w:before="0" w:after="0"/>
              <w:jc w:val="center"/>
              <w:rPr>
                <w:rFonts w:ascii="Times New Roman" w:hAnsi="Times New Roman"/>
                <w:kern w:val="0"/>
                <w:sz w:val="28"/>
                <w:szCs w:val="28"/>
                <w:lang w:bidi="ar-SA"/>
              </w:rPr>
            </w:pPr>
            <w:r>
              <w:rPr>
                <w:rFonts w:ascii="Times New Roman" w:hAnsi="Times New Roman"/>
                <w:kern w:val="0"/>
                <w:sz w:val="28"/>
                <w:szCs w:val="28"/>
                <w:lang w:val="uk-UA" w:bidi="ar-SA"/>
              </w:rPr>
              <w:t>5 000 000</w:t>
            </w:r>
          </w:p>
        </w:tc>
      </w:tr>
      <w:tr>
        <w:trPr/>
        <w:tc>
          <w:tcPr>
            <w:tcW w:w="564" w:type="dxa"/>
            <w:tcBorders/>
          </w:tcPr>
          <w:p>
            <w:pPr>
              <w:pStyle w:val="Normal"/>
              <w:widowControl/>
              <w:spacing w:before="0" w:after="0"/>
              <w:jc w:val="both"/>
              <w:rPr>
                <w:rFonts w:ascii="Times New Roman" w:hAnsi="Times New Roman"/>
                <w:kern w:val="0"/>
                <w:sz w:val="28"/>
                <w:szCs w:val="28"/>
                <w:lang w:val="uk-UA" w:bidi="ar-SA"/>
              </w:rPr>
            </w:pPr>
            <w:r>
              <w:rPr>
                <w:rFonts w:ascii="Times New Roman" w:hAnsi="Times New Roman"/>
                <w:kern w:val="0"/>
                <w:sz w:val="28"/>
                <w:szCs w:val="28"/>
                <w:lang w:val="uk-UA" w:bidi="ar-SA"/>
              </w:rPr>
            </w:r>
          </w:p>
        </w:tc>
        <w:tc>
          <w:tcPr>
            <w:tcW w:w="8083" w:type="dxa"/>
            <w:tcBorders/>
          </w:tcPr>
          <w:p>
            <w:pPr>
              <w:pStyle w:val="Normal"/>
              <w:widowControl/>
              <w:spacing w:before="0" w:after="0"/>
              <w:jc w:val="both"/>
              <w:rPr>
                <w:rFonts w:ascii="Times New Roman" w:hAnsi="Times New Roman"/>
                <w:kern w:val="0"/>
                <w:sz w:val="28"/>
                <w:szCs w:val="28"/>
                <w:lang w:bidi="ar-SA"/>
              </w:rPr>
            </w:pPr>
            <w:r>
              <w:rPr>
                <w:rFonts w:ascii="Times New Roman" w:hAnsi="Times New Roman"/>
                <w:kern w:val="0"/>
                <w:sz w:val="28"/>
                <w:szCs w:val="28"/>
                <w:lang w:val="uk-UA" w:bidi="ar-SA"/>
              </w:rPr>
              <w:t>Всього</w:t>
            </w:r>
          </w:p>
        </w:tc>
        <w:tc>
          <w:tcPr>
            <w:tcW w:w="1474" w:type="dxa"/>
            <w:tcBorders/>
          </w:tcPr>
          <w:p>
            <w:pPr>
              <w:pStyle w:val="Normal"/>
              <w:widowControl/>
              <w:spacing w:before="0" w:after="0"/>
              <w:ind w:hanging="0" w:right="-5"/>
              <w:jc w:val="center"/>
              <w:rPr>
                <w:rFonts w:ascii="Times New Roman" w:hAnsi="Times New Roman"/>
                <w:kern w:val="0"/>
                <w:sz w:val="28"/>
                <w:szCs w:val="28"/>
                <w:lang w:bidi="ar-SA"/>
              </w:rPr>
            </w:pPr>
            <w:r>
              <w:rPr>
                <w:rFonts w:ascii="Times New Roman" w:hAnsi="Times New Roman"/>
                <w:kern w:val="0"/>
                <w:sz w:val="28"/>
                <w:szCs w:val="28"/>
                <w:lang w:val="uk-UA" w:bidi="ar-SA"/>
              </w:rPr>
              <w:t>18 850 000</w:t>
            </w:r>
          </w:p>
        </w:tc>
      </w:tr>
    </w:tbl>
    <w:p>
      <w:pPr>
        <w:pStyle w:val="Normal"/>
        <w:suppressAutoHyphens w:val="false"/>
        <w:jc w:val="both"/>
        <w:rPr>
          <w:rFonts w:ascii="Times New Roman" w:hAnsi="Times New Roman"/>
          <w:sz w:val="28"/>
          <w:szCs w:val="28"/>
        </w:rPr>
      </w:pPr>
      <w:r>
        <w:rPr>
          <w:rFonts w:ascii="Times New Roman" w:hAnsi="Times New Roman"/>
          <w:b/>
          <w:sz w:val="28"/>
          <w:szCs w:val="28"/>
          <w:lang w:val="uk-UA"/>
        </w:rPr>
        <w:t xml:space="preserve">Усього по завданню №1           </w:t>
      </w:r>
      <w:r>
        <w:rPr>
          <w:rFonts w:ascii="Times New Roman" w:hAnsi="Times New Roman"/>
          <w:b/>
          <w:bCs/>
          <w:sz w:val="28"/>
          <w:szCs w:val="28"/>
          <w:lang w:val="uk-UA" w:eastAsia="ru-RU"/>
        </w:rPr>
        <w:t>72 898 900,00</w:t>
      </w:r>
      <w:r>
        <w:rPr>
          <w:rFonts w:cs="Calibri" w:ascii="Times New Roman" w:hAnsi="Times New Roman"/>
          <w:sz w:val="28"/>
          <w:szCs w:val="28"/>
          <w:lang w:val="uk-UA" w:eastAsia="ru-RU"/>
        </w:rPr>
        <w:t xml:space="preserve"> </w:t>
      </w:r>
      <w:r>
        <w:rPr>
          <w:rFonts w:ascii="Times New Roman" w:hAnsi="Times New Roman"/>
          <w:b/>
          <w:sz w:val="28"/>
          <w:szCs w:val="28"/>
          <w:lang w:val="uk-UA"/>
        </w:rPr>
        <w:t>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№2 Забезпечення імунопрофілактики інфекційних захворювань</w:t>
      </w:r>
    </w:p>
    <w:tbl>
      <w:tblPr>
        <w:tblW w:w="6430" w:type="dxa"/>
        <w:jc w:val="left"/>
        <w:tblInd w:w="103" w:type="dxa"/>
        <w:tblLayout w:type="fixed"/>
        <w:tblCellMar>
          <w:top w:w="0" w:type="dxa"/>
          <w:left w:w="108" w:type="dxa"/>
          <w:bottom w:w="0" w:type="dxa"/>
          <w:right w:w="108" w:type="dxa"/>
        </w:tblCellMar>
        <w:tblLook w:firstRow="1" w:noVBand="0" w:lastRow="0" w:firstColumn="1" w:lastColumn="0" w:noHBand="0" w:val="00a0"/>
      </w:tblPr>
      <w:tblGrid>
        <w:gridCol w:w="3391"/>
        <w:gridCol w:w="3039"/>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№2            482 600,00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jc w:val="both"/>
        <w:rPr>
          <w:rFonts w:ascii="Times New Roman" w:hAnsi="Times New Roman"/>
          <w:sz w:val="28"/>
          <w:szCs w:val="28"/>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2026 рік по відділенням </w:t>
      </w:r>
      <w:r>
        <w:rPr>
          <w:rFonts w:ascii="Times New Roman" w:hAnsi="Times New Roman"/>
          <w:b/>
          <w:bCs/>
          <w:sz w:val="28"/>
          <w:szCs w:val="28"/>
          <w:lang w:val="uk-UA"/>
        </w:rPr>
        <w:t xml:space="preserve">31 923 000,00 </w:t>
      </w:r>
      <w:r>
        <w:rPr>
          <w:rFonts w:ascii="Times New Roman" w:hAnsi="Times New Roman"/>
          <w:b/>
          <w:sz w:val="28"/>
          <w:szCs w:val="28"/>
          <w:lang w:val="uk-UA"/>
        </w:rPr>
        <w:t>грн</w:t>
      </w:r>
    </w:p>
    <w:tbl>
      <w:tblPr>
        <w:tblW w:w="10099"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594"/>
        <w:gridCol w:w="1266"/>
        <w:gridCol w:w="2239"/>
      </w:tblGrid>
      <w:tr>
        <w:trPr>
          <w:trHeight w:val="375" w:hRule="atLeast"/>
        </w:trPr>
        <w:tc>
          <w:tcPr>
            <w:tcW w:w="659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rPr>
              <w:t>Назва оснащення</w:t>
            </w:r>
          </w:p>
        </w:tc>
        <w:tc>
          <w:tcPr>
            <w:tcW w:w="1266" w:type="dxa"/>
            <w:tcBorders>
              <w:top w:val="single" w:sz="4" w:space="0" w:color="000000"/>
              <w:bottom w:val="single" w:sz="4" w:space="0" w:color="000000"/>
              <w:right w:val="single" w:sz="4" w:space="0" w:color="000000"/>
            </w:tcBorders>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rPr>
              <w:t>Кількість</w:t>
            </w:r>
          </w:p>
        </w:tc>
        <w:tc>
          <w:tcPr>
            <w:tcW w:w="2239" w:type="dxa"/>
            <w:tcBorders>
              <w:top w:val="single" w:sz="4" w:space="0" w:color="000000"/>
              <w:bottom w:val="single" w:sz="4" w:space="0" w:color="000000"/>
              <w:right w:val="single" w:sz="4" w:space="0" w:color="000000"/>
            </w:tcBorders>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rPr>
              <w:t>Орієнтовна загальна вартість, грн.</w:t>
            </w:r>
          </w:p>
        </w:tc>
      </w:tr>
      <w:tr>
        <w:trPr>
          <w:trHeight w:val="375" w:hRule="atLeast"/>
        </w:trPr>
        <w:tc>
          <w:tcPr>
            <w:tcW w:w="10099" w:type="dxa"/>
            <w:gridSpan w:val="3"/>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Відділення екстреної (невідкладної) медичної допомоги</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холтерівського моніторування ЕКГ (не гірше - ECGpro Holter, версія S)</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280 000,00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добового моніторування AT (не гірше — ABPpro)</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55 000,00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Монітор холтерівський BS6930- (додатковий реестратор)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62 000,00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Ергометр для проведення стрес-тестів з  Пристріем реестрацїі ЕКГ (не гірше - АМЕДТЕК ECGpro КардіоПат 12 Блу"-s)</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1 000 000,00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Капіляроскоп</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для УЗД діагностики з набором датчиків</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3 000 000,00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Стіл операційний електричний</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270 000,00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Портативний медичний аспіратор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Монітор пацієнта</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140 000,00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Дозатор лікувальних речовин (шприцеві насоси)</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Відділення анестезіології з ліжками для інтенсивної терапії</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Панель медична</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Компресор Medical air compressor Mindray</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Шприцевий насос двошприцевий</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420 000,00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Стимулятор периферичних нервів для проведення провідникової анестезії</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80 000,00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Обладнання для зігрівання хворих під час операції</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450 000,00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ШВЛ Mindray SV-300/аналог з негіршими характеристиками</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3 000 000,00</w:t>
            </w:r>
          </w:p>
        </w:tc>
      </w:tr>
      <w:tr>
        <w:trPr>
          <w:trHeight w:val="319"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для УЗД діагностики з набором датчиків</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3 000 000,00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Травматологічне відділення</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очищення ран (ультразвуковий кавітатор ран)</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550 000,00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Рентгенологічне відділення</w:t>
            </w:r>
          </w:p>
        </w:tc>
      </w:tr>
      <w:tr>
        <w:trPr>
          <w:trHeight w:val="15"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Апарат МРТ</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lang w:val="uk-UA" w:eastAsia="uk-UA"/>
              </w:rPr>
            </w:pPr>
            <w:r>
              <w:rPr>
                <w:rFonts w:ascii="Times New Roman" w:hAnsi="Times New Roman"/>
                <w:sz w:val="28"/>
                <w:szCs w:val="28"/>
                <w:lang w:val="uk-UA" w:eastAsia="uk-UA"/>
              </w:rPr>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Сенсорний дисплей</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126 000,00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Пересувний (портативний) рентгендіагностичний апарат з цифрофою обробкою зображення</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3 500 000,00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Лабораторія</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Гематологічний аналізатор 5-dif</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1 500 000,00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Автоматичний коагулометр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1 500 000,00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Баканалізатор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1 500 000,00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Напівавтоматичний чотирьохканальний коагулометр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150 000,00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Аналізатор швидкості осідання еритроцитів на 8 пробірок</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Денситометр (детектор каламутності)</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45 000,00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Хірургічне відділення</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Відеогастроскоп</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1 908 000,00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Цистоуретроскоп в комплекті</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2 000 000,00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Інструмент лапароскопічний</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Гінекологічне відділення</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Інсуфлятор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250 000,00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Крісло гінекологічне електричне</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120 000,00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Пологове відділення з післяпологовими палатами та палатами патології вагітності</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Двохшприцевийі нфузійний насос</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Автоматичний аналізатор газів крові</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500 000,00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Вітальний монітор пацієнта з неонатальними датчиками</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Поліклініка</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Обладнення для доукомплектування гістероскопа</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комплект</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650 000,00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добового моніторування AT (не гірше — ABPpro)</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55 000,00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холтерівського моніторування ЕКГ (не гіше - ECGpro Holter, версія S)</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280 000,00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Безконтактний тонометр для вимірювання внутрішньоочного тиску (цифровий, портативний, для ВЛК)</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230 000,00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Офтальмологічна щілинна лампа</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250 000,00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Неодимова система (лазер)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800 000,00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Лікарняний банк крові</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Змішувач тромбоцитів для зберігання тромбоцитарник копонентів крові та інкубатор для зберігання тромбоцитних компонентів крові</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160 000,00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Розморожувач плазми крові</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lang w:val="uk-UA" w:eastAsia="uk-UA"/>
              </w:rPr>
            </w:pPr>
            <w:r>
              <w:rPr>
                <w:rFonts w:ascii="Times New Roman" w:hAnsi="Times New Roman"/>
                <w:sz w:val="28"/>
                <w:szCs w:val="28"/>
                <w:lang w:val="uk-UA" w:eastAsia="uk-UA"/>
              </w:rPr>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770 000,00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Обладнання для проведення імуногематологічних досліджень крові та плазми за допомогою гелевої технології</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lang w:val="uk-UA" w:eastAsia="uk-UA"/>
              </w:rPr>
            </w:pPr>
            <w:r>
              <w:rPr>
                <w:rFonts w:ascii="Times New Roman" w:hAnsi="Times New Roman"/>
                <w:sz w:val="28"/>
                <w:szCs w:val="28"/>
                <w:lang w:val="uk-UA" w:eastAsia="uk-UA"/>
              </w:rPr>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1 697 000,00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Відділ інфекційного контролю</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УФ-радіометр</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75 000,00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Терапевтичне відділення з ліжками для паліативної допомоги</w:t>
            </w:r>
          </w:p>
        </w:tc>
      </w:tr>
      <w:tr>
        <w:trPr>
          <w:trHeight w:val="315"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Ультразвуковий небулайзер (по типу OMRON NE-U 780 Ultra Air/аналог з негіршими характеристиками)</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75 000,00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Пристрій для підняття пацієнта в ліжку</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80 000,00</w:t>
            </w:r>
          </w:p>
        </w:tc>
      </w:tr>
      <w:tr>
        <w:trPr>
          <w:trHeight w:val="375" w:hRule="atLeast"/>
        </w:trPr>
        <w:tc>
          <w:tcPr>
            <w:tcW w:w="10099" w:type="dxa"/>
            <w:gridSpan w:val="3"/>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i/>
                <w:iCs/>
                <w:sz w:val="28"/>
                <w:szCs w:val="28"/>
                <w:lang w:val="uk-UA" w:eastAsia="uk-UA"/>
              </w:rPr>
              <w:t>Дитяче відділення</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Система кольорової візуалізації вен</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120 000,00</w:t>
            </w:r>
          </w:p>
        </w:tc>
      </w:tr>
      <w:tr>
        <w:trPr>
          <w:trHeight w:val="300"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sz w:val="28"/>
                <w:szCs w:val="28"/>
                <w:lang w:val="uk-UA" w:eastAsia="uk-UA"/>
              </w:rPr>
              <w:t>Ультразвуковий небулайзер (по типу OMRON NE-U 780 Ultra Air/аналог з негіршими характеристиками)</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1</w:t>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sz w:val="28"/>
                <w:szCs w:val="28"/>
                <w:lang w:val="uk-UA" w:eastAsia="uk-UA"/>
              </w:rPr>
              <w:t>75 000,00</w:t>
            </w:r>
          </w:p>
        </w:tc>
      </w:tr>
      <w:tr>
        <w:trPr>
          <w:trHeight w:val="328" w:hRule="atLeast"/>
        </w:trPr>
        <w:tc>
          <w:tcPr>
            <w:tcW w:w="6594" w:type="dxa"/>
            <w:tcBorders>
              <w:left w:val="single" w:sz="4" w:space="0" w:color="000000"/>
              <w:bottom w:val="single" w:sz="4" w:space="0" w:color="000000"/>
              <w:right w:val="single" w:sz="4" w:space="0" w:color="000000"/>
            </w:tcBorders>
            <w:vAlign w:val="bottom"/>
          </w:tcPr>
          <w:p>
            <w:pPr>
              <w:pStyle w:val="Normal"/>
              <w:suppressAutoHyphens w:val="false"/>
              <w:spacing w:before="0" w:after="0"/>
              <w:contextualSpacing/>
              <w:rPr>
                <w:rFonts w:ascii="Times New Roman" w:hAnsi="Times New Roman"/>
                <w:sz w:val="28"/>
                <w:szCs w:val="28"/>
              </w:rPr>
            </w:pPr>
            <w:r>
              <w:rPr>
                <w:rFonts w:ascii="Times New Roman" w:hAnsi="Times New Roman"/>
                <w:b/>
                <w:bCs/>
                <w:sz w:val="28"/>
                <w:szCs w:val="28"/>
                <w:lang w:val="uk-UA" w:eastAsia="uk-UA"/>
              </w:rPr>
              <w:t>ВСЬОГО</w:t>
            </w:r>
          </w:p>
        </w:tc>
        <w:tc>
          <w:tcPr>
            <w:tcW w:w="1266"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b/>
                <w:bCs/>
                <w:sz w:val="28"/>
                <w:szCs w:val="28"/>
                <w:lang w:val="uk-UA" w:eastAsia="uk-UA"/>
              </w:rPr>
            </w:pPr>
            <w:r>
              <w:rPr>
                <w:rFonts w:ascii="Times New Roman" w:hAnsi="Times New Roman"/>
                <w:b/>
                <w:bCs/>
                <w:sz w:val="28"/>
                <w:szCs w:val="28"/>
                <w:lang w:val="uk-UA" w:eastAsia="uk-UA"/>
              </w:rPr>
            </w:r>
          </w:p>
        </w:tc>
        <w:tc>
          <w:tcPr>
            <w:tcW w:w="2239" w:type="dxa"/>
            <w:tcBorders>
              <w:bottom w:val="single" w:sz="4" w:space="0" w:color="000000"/>
              <w:right w:val="single" w:sz="4" w:space="0" w:color="000000"/>
            </w:tcBorders>
            <w:vAlign w:val="bottom"/>
          </w:tcPr>
          <w:p>
            <w:pPr>
              <w:pStyle w:val="Normal"/>
              <w:suppressAutoHyphens w:val="false"/>
              <w:spacing w:before="0" w:after="0"/>
              <w:contextualSpacing/>
              <w:jc w:val="center"/>
              <w:rPr>
                <w:rFonts w:ascii="Times New Roman" w:hAnsi="Times New Roman"/>
                <w:sz w:val="28"/>
                <w:szCs w:val="28"/>
              </w:rPr>
            </w:pPr>
            <w:r>
              <w:rPr>
                <w:rFonts w:ascii="Times New Roman" w:hAnsi="Times New Roman"/>
                <w:b/>
                <w:bCs/>
                <w:sz w:val="28"/>
                <w:szCs w:val="28"/>
                <w:lang w:val="uk-UA" w:eastAsia="uk-UA"/>
              </w:rPr>
              <w:t>31 923 000,00</w:t>
            </w:r>
          </w:p>
        </w:tc>
      </w:tr>
    </w:tbl>
    <w:p>
      <w:pPr>
        <w:pStyle w:val="Normal"/>
        <w:ind w:hanging="0" w:right="-5"/>
        <w:jc w:val="both"/>
        <w:rPr>
          <w:rFonts w:ascii="Times New Roman" w:hAnsi="Times New Roman"/>
          <w:b/>
          <w:bCs/>
          <w:sz w:val="28"/>
          <w:szCs w:val="28"/>
          <w:lang w:val="uk-UA"/>
        </w:rPr>
      </w:pPr>
      <w:r>
        <w:rPr>
          <w:rFonts w:ascii="Times New Roman" w:hAnsi="Times New Roman"/>
          <w:b/>
          <w:bCs/>
          <w:sz w:val="28"/>
          <w:szCs w:val="28"/>
          <w:lang w:val="uk-UA"/>
        </w:rPr>
      </w:r>
    </w:p>
    <w:p>
      <w:pPr>
        <w:pStyle w:val="Normal"/>
        <w:ind w:hanging="0" w:right="-5"/>
        <w:jc w:val="both"/>
        <w:rPr>
          <w:rFonts w:ascii="Times New Roman" w:hAnsi="Times New Roman"/>
          <w:sz w:val="28"/>
          <w:szCs w:val="28"/>
        </w:rPr>
      </w:pPr>
      <w:bookmarkStart w:id="2" w:name="_Hlk216269431"/>
      <w:r>
        <w:rPr>
          <w:rFonts w:ascii="Times New Roman" w:hAnsi="Times New Roman"/>
          <w:b/>
          <w:sz w:val="28"/>
          <w:szCs w:val="28"/>
          <w:lang w:val="uk-UA"/>
        </w:rPr>
        <w:t>Усього по завданню №3                                                    31 923 000,00 грн.</w:t>
      </w:r>
      <w:bookmarkEnd w:id="2"/>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tbl>
      <w:tblPr>
        <w:tblW w:w="6430"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3391"/>
        <w:gridCol w:w="3039"/>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2026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Заробітна плата</w:t>
            </w:r>
          </w:p>
        </w:tc>
        <w:tc>
          <w:tcPr>
            <w:tcW w:w="303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384 340,00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Нарахування на оплату праці</w:t>
            </w:r>
          </w:p>
        </w:tc>
        <w:tc>
          <w:tcPr>
            <w:tcW w:w="303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84 560,00</w:t>
            </w:r>
          </w:p>
        </w:tc>
      </w:tr>
      <w:tr>
        <w:trPr>
          <w:trHeight w:val="85" w:hRule="atLeast"/>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9"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468 900,00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№4            468 900,00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firstLine="709"/>
        <w:jc w:val="both"/>
        <w:rPr>
          <w:rFonts w:ascii="Times New Roman" w:hAnsi="Times New Roman"/>
          <w:sz w:val="28"/>
          <w:szCs w:val="28"/>
        </w:rPr>
      </w:pPr>
      <w:r>
        <w:rPr>
          <w:rFonts w:ascii="Times New Roman" w:hAnsi="Times New Roman"/>
          <w:b/>
          <w:bCs/>
          <w:sz w:val="28"/>
          <w:szCs w:val="28"/>
          <w:lang w:val="uk-UA"/>
        </w:rPr>
        <w:t>VІ. Координація та контроль за ходом виконання програми</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Безпосередній контроль за виконанням Програми здійснюється головним розпорядником.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 xml:space="preserve">Головний розпорядник звітує про виконання Програми </w:t>
      </w:r>
      <w:r>
        <w:rPr>
          <w:rFonts w:ascii="Times New Roman" w:hAnsi="Times New Roman"/>
          <w:color w:val="000000"/>
          <w:sz w:val="28"/>
          <w:szCs w:val="28"/>
          <w:lang w:val="uk-UA"/>
        </w:rPr>
        <w:t xml:space="preserve">на </w:t>
      </w:r>
      <w:r>
        <w:rPr>
          <w:rFonts w:ascii="Times New Roman" w:hAnsi="Times New Roman"/>
          <w:sz w:val="28"/>
          <w:szCs w:val="28"/>
          <w:lang w:val="uk-UA"/>
        </w:rPr>
        <w:t>сесії міської ради за підсумками року.</w:t>
      </w:r>
    </w:p>
    <w:p>
      <w:pPr>
        <w:pStyle w:val="Normal"/>
        <w:widowControl w:val="false"/>
        <w:ind w:firstLine="284"/>
        <w:jc w:val="both"/>
        <w:rPr>
          <w:rFonts w:ascii="Times New Roman" w:hAnsi="Times New Roman"/>
          <w:sz w:val="28"/>
          <w:szCs w:val="28"/>
        </w:rPr>
      </w:pPr>
      <w:r>
        <w:rPr>
          <w:rFonts w:ascii="Times New Roman" w:hAnsi="Times New Roman"/>
          <w:sz w:val="28"/>
          <w:szCs w:val="28"/>
          <w:lang w:val="uk-UA"/>
        </w:rPr>
        <w:t>Фінансове забезпечення здійснюється у межах кошторисних призначень на бюджетний період.</w:t>
      </w:r>
    </w:p>
    <w:p>
      <w:pPr>
        <w:pStyle w:val="Normal"/>
        <w:widowControl w:val="false"/>
        <w:ind w:firstLine="284"/>
        <w:jc w:val="both"/>
        <w:rPr>
          <w:rFonts w:ascii="Times New Roman" w:hAnsi="Times New Roman"/>
          <w:sz w:val="28"/>
          <w:szCs w:val="28"/>
          <w:lang w:val="uk-UA"/>
        </w:rPr>
      </w:pPr>
      <w:r>
        <w:rPr>
          <w:rFonts w:ascii="Times New Roman" w:hAnsi="Times New Roman"/>
          <w:sz w:val="28"/>
          <w:szCs w:val="28"/>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t xml:space="preserve">Міський голова </w:t>
        <w:tab/>
        <w:tab/>
        <w:tab/>
        <w:tab/>
        <w:tab/>
        <w:tab/>
        <w:tab/>
        <w:tab/>
        <w:t>Олександр КОДОЛА</w:t>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ПОЯСНЮВАЛЬНА ЗАПИСКА</w:t>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До проекту рішення Ніжинської міської ради</w:t>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«Про внесення змін до рішення Ніжинської міської ради </w:t>
      </w:r>
    </w:p>
    <w:p>
      <w:pPr>
        <w:pStyle w:val="Normal"/>
        <w:spacing w:lineRule="auto" w:line="240" w:before="0" w:after="0"/>
        <w:jc w:val="center"/>
        <w:rPr>
          <w:rFonts w:ascii="Times New Roman" w:hAnsi="Times New Roman"/>
          <w:sz w:val="28"/>
          <w:szCs w:val="28"/>
        </w:rPr>
      </w:pPr>
      <w:r>
        <w:rPr>
          <w:rFonts w:ascii="Times New Roman" w:hAnsi="Times New Roman"/>
          <w:sz w:val="28"/>
          <w:szCs w:val="28"/>
          <w:lang w:val="uk-UA"/>
        </w:rPr>
        <w:t>від 24 грудня 2025 року № 5-52/2025 «Про затвердження програм  місцевого/регіонального значення на 2026 рік»</w:t>
      </w:r>
    </w:p>
    <w:p>
      <w:pPr>
        <w:pStyle w:val="Normal"/>
        <w:spacing w:lineRule="auto" w:line="240" w:before="0" w:after="0"/>
        <w:jc w:val="center"/>
        <w:rPr>
          <w:rFonts w:ascii="Times New Roman" w:hAnsi="Times New Roman"/>
          <w:i/>
          <w:sz w:val="28"/>
          <w:szCs w:val="28"/>
          <w:lang w:val="uk-UA"/>
        </w:rPr>
      </w:pPr>
      <w:r>
        <w:rPr>
          <w:rFonts w:ascii="Times New Roman" w:hAnsi="Times New Roman"/>
          <w:i/>
          <w:sz w:val="28"/>
          <w:szCs w:val="28"/>
          <w:lang w:val="uk-UA"/>
        </w:rPr>
      </w:r>
    </w:p>
    <w:p>
      <w:pPr>
        <w:pStyle w:val="NoSpacing"/>
        <w:ind w:firstLine="567"/>
        <w:jc w:val="both"/>
        <w:rPr>
          <w:rFonts w:ascii="Times New Roman" w:hAnsi="Times New Roman"/>
          <w:sz w:val="28"/>
          <w:szCs w:val="28"/>
        </w:rPr>
      </w:pPr>
      <w:r>
        <w:rPr>
          <w:rFonts w:ascii="Times New Roman" w:hAnsi="Times New Roman"/>
          <w:sz w:val="28"/>
          <w:szCs w:val="28"/>
          <w:lang w:val="uk-UA"/>
        </w:rPr>
        <w:t xml:space="preserve">Проект рішення Ніжинської міської ради «Про внесення змін до рішення Ніжинської міської ради від 24 грудня 2025 року  № 3-43/2024«Про затвердження програм місцевого/регіонального значення на 2026 рік» </w:t>
      </w:r>
    </w:p>
    <w:p>
      <w:pPr>
        <w:pStyle w:val="ListParagraph"/>
        <w:numPr>
          <w:ilvl w:val="0"/>
          <w:numId w:val="2"/>
        </w:numPr>
        <w:tabs>
          <w:tab w:val="clear" w:pos="708"/>
          <w:tab w:val="left" w:pos="851" w:leader="none"/>
        </w:tabs>
        <w:spacing w:lineRule="auto" w:line="240" w:before="0" w:after="0"/>
        <w:ind w:firstLine="567" w:left="0"/>
        <w:contextualSpacing/>
        <w:jc w:val="both"/>
        <w:rPr>
          <w:rFonts w:ascii="Times New Roman" w:hAnsi="Times New Roman"/>
          <w:sz w:val="28"/>
          <w:szCs w:val="28"/>
        </w:rPr>
      </w:pPr>
      <w:r>
        <w:rPr>
          <w:rFonts w:ascii="Times New Roman" w:hAnsi="Times New Roman"/>
          <w:sz w:val="28"/>
          <w:szCs w:val="28"/>
          <w:lang w:val="uk-UA"/>
        </w:rPr>
        <w:t xml:space="preserve">Передбачає внесення змін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2026 рік» , </w:t>
      </w:r>
      <w:r>
        <w:rPr>
          <w:rFonts w:eastAsia="Times New Roman" w:ascii="Times New Roman" w:hAnsi="Times New Roman"/>
          <w:sz w:val="28"/>
          <w:szCs w:val="28"/>
          <w:lang w:val="uk-UA" w:eastAsia="uk-UA"/>
        </w:rPr>
        <w:t>у зв</w:t>
      </w:r>
      <w:r>
        <w:rPr>
          <w:rFonts w:eastAsia="Times New Roman" w:ascii="Times New Roman" w:hAnsi="Times New Roman"/>
          <w:b/>
          <w:bCs/>
          <w:sz w:val="28"/>
          <w:szCs w:val="28"/>
          <w:lang w:val="uk-UA" w:eastAsia="uk-UA"/>
        </w:rPr>
        <w:t>'</w:t>
      </w:r>
      <w:r>
        <w:rPr>
          <w:rFonts w:eastAsia="Times New Roman" w:ascii="Times New Roman" w:hAnsi="Times New Roman"/>
          <w:sz w:val="28"/>
          <w:szCs w:val="28"/>
          <w:lang w:val="uk-UA" w:eastAsia="uk-UA"/>
        </w:rPr>
        <w:t xml:space="preserve">язку з </w:t>
      </w:r>
      <w:r>
        <w:rPr>
          <w:rFonts w:ascii="Times New Roman" w:hAnsi="Times New Roman"/>
          <w:sz w:val="28"/>
          <w:szCs w:val="28"/>
          <w:lang w:val="uk-UA"/>
        </w:rPr>
        <w:t>приведенням обсягів фінансування Програми у відповідність до фінансових можливостей, а також необхідністю концентрації бюджетних ресурсів на забезпеченні безперебійного надання медичної допомоги населенню, а саме:</w:t>
      </w:r>
    </w:p>
    <w:p>
      <w:pPr>
        <w:pStyle w:val="Normal"/>
        <w:spacing w:lineRule="auto" w:line="240" w:before="0" w:after="0"/>
        <w:ind w:firstLine="567"/>
        <w:contextualSpacing/>
        <w:jc w:val="both"/>
        <w:rPr>
          <w:rFonts w:ascii="Times New Roman" w:hAnsi="Times New Roman"/>
          <w:sz w:val="28"/>
          <w:szCs w:val="28"/>
        </w:rPr>
      </w:pPr>
      <w:r>
        <w:rPr>
          <w:rFonts w:eastAsia="Times New Roman" w:ascii="Times New Roman" w:hAnsi="Times New Roman"/>
          <w:sz w:val="28"/>
          <w:szCs w:val="28"/>
          <w:lang w:val="uk-UA" w:eastAsia="uk-UA"/>
        </w:rPr>
        <w:t xml:space="preserve">Проєктом рішення передбачається зменшення загального обсягу фінансових Програми з 128 196 800 грн до </w:t>
      </w:r>
      <w:r>
        <w:rPr>
          <w:rFonts w:ascii="Times New Roman" w:hAnsi="Times New Roman"/>
          <w:sz w:val="28"/>
          <w:szCs w:val="28"/>
          <w:lang w:val="uk-UA"/>
        </w:rPr>
        <w:t>105 773 400</w:t>
      </w:r>
      <w:r>
        <w:rPr>
          <w:rFonts w:eastAsia="Times New Roman" w:ascii="Times New Roman" w:hAnsi="Times New Roman"/>
          <w:sz w:val="28"/>
          <w:szCs w:val="28"/>
          <w:lang w:val="uk-UA" w:eastAsia="uk-UA"/>
        </w:rPr>
        <w:t xml:space="preserve"> грн, у тому числі коштів бюджету Ніжинської МТГ – з 127 727 900 грн до </w:t>
      </w:r>
      <w:r>
        <w:rPr>
          <w:rFonts w:ascii="Times New Roman" w:hAnsi="Times New Roman"/>
          <w:sz w:val="28"/>
          <w:szCs w:val="28"/>
          <w:lang w:val="uk-UA"/>
        </w:rPr>
        <w:t>105 304 500</w:t>
      </w:r>
      <w:r>
        <w:rPr>
          <w:rFonts w:eastAsia="Times New Roman" w:ascii="Times New Roman" w:hAnsi="Times New Roman"/>
          <w:sz w:val="28"/>
          <w:szCs w:val="28"/>
          <w:lang w:val="uk-UA" w:eastAsia="uk-UA"/>
        </w:rPr>
        <w:t xml:space="preserve"> грн. </w:t>
      </w:r>
    </w:p>
    <w:p>
      <w:pPr>
        <w:pStyle w:val="ListParagraph"/>
        <w:numPr>
          <w:ilvl w:val="0"/>
          <w:numId w:val="3"/>
        </w:numPr>
        <w:spacing w:lineRule="auto" w:line="240" w:before="0" w:after="0"/>
        <w:contextualSpacing/>
        <w:jc w:val="both"/>
        <w:rPr/>
      </w:pPr>
      <w:r>
        <w:rPr>
          <w:rFonts w:eastAsia="Times New Roman" w:ascii="Times New Roman" w:hAnsi="Times New Roman"/>
          <w:sz w:val="28"/>
          <w:szCs w:val="28"/>
          <w:lang w:val="uk-UA" w:eastAsia="uk-UA"/>
        </w:rPr>
        <w:t>У межах Завдання №1 «</w:t>
      </w:r>
      <w:r>
        <w:rPr>
          <w:rFonts w:ascii="Times New Roman" w:hAnsi="Times New Roman"/>
          <w:sz w:val="28"/>
          <w:szCs w:val="28"/>
          <w:lang w:val="uk-UA"/>
        </w:rPr>
        <w:t xml:space="preserve">Забезпечення надання вторинної медичної допомоги, в тому числі </w:t>
      </w:r>
      <w:r>
        <w:rPr>
          <w:rStyle w:val="Emphasis"/>
          <w:rFonts w:ascii="Times New Roman" w:hAnsi="Times New Roman"/>
          <w:i w:val="false"/>
          <w:iCs w:val="false"/>
          <w:sz w:val="28"/>
          <w:szCs w:val="28"/>
          <w:shd w:fill="FFFFFF" w:val="clear"/>
          <w:lang w:val="uk-UA"/>
        </w:rPr>
        <w:t>лікарсько-акушерська допомога вагітним, породіллям та новонародженим»</w:t>
      </w:r>
      <w:r>
        <w:rPr>
          <w:rFonts w:eastAsia="Times New Roman" w:ascii="Times New Roman" w:hAnsi="Times New Roman"/>
          <w:sz w:val="28"/>
          <w:szCs w:val="28"/>
          <w:lang w:val="uk-UA" w:eastAsia="uk-UA"/>
        </w:rPr>
        <w:t xml:space="preserve"> збільшено видатки на медикаменти та перев’язувальні матеріали, що пов’язано з необхідністю забезпечення безперервного лікувального процесу у відділенні інсультного блоку з рентгеноопераційною та відсутністю централізованих поставок окремих виробів медичного призначення, </w:t>
      </w:r>
      <w:r>
        <w:rPr>
          <w:rFonts w:ascii="Times New Roman" w:hAnsi="Times New Roman"/>
          <w:sz w:val="28"/>
          <w:szCs w:val="28"/>
          <w:lang w:val="uk-UA" w:eastAsia="uk-UA"/>
        </w:rPr>
        <w:t xml:space="preserve">закуплених за рахунок коштів Державного бюджету України за бюджетною програмою для </w:t>
      </w:r>
      <w:r>
        <w:rPr>
          <w:rFonts w:ascii="Times New Roman" w:hAnsi="Times New Roman"/>
          <w:sz w:val="28"/>
          <w:szCs w:val="28"/>
          <w:shd w:fill="FFFFFF" w:val="clear"/>
          <w:lang w:val="uk-UA" w:eastAsia="uk-UA"/>
        </w:rPr>
        <w:t xml:space="preserve">забезпечення </w:t>
      </w:r>
      <w:r>
        <w:rPr>
          <w:rFonts w:ascii="Times New Roman" w:hAnsi="Times New Roman"/>
          <w:sz w:val="28"/>
          <w:szCs w:val="28"/>
          <w:lang w:val="uk-UA" w:eastAsia="uk-UA"/>
        </w:rPr>
        <w:t>лікування серцево-судинних та судинно-мозкових захворювань</w:t>
      </w:r>
    </w:p>
    <w:p>
      <w:pPr>
        <w:pStyle w:val="ListParagraph"/>
        <w:spacing w:lineRule="auto" w:line="240" w:before="0" w:after="0"/>
        <w:ind w:hanging="0" w:left="927"/>
        <w:contextualSpacing/>
        <w:jc w:val="both"/>
        <w:rPr>
          <w:rFonts w:ascii="Times New Roman" w:hAnsi="Times New Roman"/>
          <w:sz w:val="28"/>
          <w:szCs w:val="28"/>
        </w:rPr>
      </w:pPr>
      <w:r>
        <w:rPr>
          <w:rFonts w:eastAsia="Times New Roman" w:ascii="Times New Roman" w:hAnsi="Times New Roman"/>
          <w:sz w:val="28"/>
          <w:szCs w:val="28"/>
          <w:lang w:val="uk-UA" w:eastAsia="uk-UA"/>
        </w:rPr>
        <w:t>Видатки на оплату послуг скориговано до фактичних потреб. Та збільшено видатки  на відшкодування пільгових пенсій.</w:t>
      </w:r>
    </w:p>
    <w:p>
      <w:pPr>
        <w:pStyle w:val="ListParagraph"/>
        <w:numPr>
          <w:ilvl w:val="0"/>
          <w:numId w:val="3"/>
        </w:numPr>
        <w:spacing w:lineRule="auto" w:line="240" w:before="0" w:after="0"/>
        <w:contextualSpacing/>
        <w:jc w:val="both"/>
        <w:rPr>
          <w:rFonts w:ascii="Times New Roman" w:hAnsi="Times New Roman"/>
          <w:sz w:val="28"/>
          <w:szCs w:val="28"/>
        </w:rPr>
      </w:pPr>
      <w:r>
        <w:rPr>
          <w:rFonts w:eastAsia="Times New Roman" w:ascii="Times New Roman" w:hAnsi="Times New Roman"/>
          <w:sz w:val="28"/>
          <w:szCs w:val="28"/>
          <w:lang w:val="uk-UA" w:eastAsia="uk-UA"/>
        </w:rPr>
        <w:t xml:space="preserve">У частині видатків на капітальні ремонти збережено загальний обсяг фінансування, здійснено перерозподіл. </w:t>
      </w:r>
      <w:r>
        <w:rPr>
          <w:rFonts w:ascii="Times New Roman" w:hAnsi="Times New Roman"/>
          <w:sz w:val="28"/>
          <w:szCs w:val="28"/>
          <w:lang w:val="uk-UA"/>
        </w:rPr>
        <w:t>Основну увагу зосереджено на заходах, пов’язаних із безпекою пацієнтів, енергонезалежністю закладу та забезпеченням його безперебійного функціонування</w:t>
      </w:r>
      <w:r>
        <w:rPr>
          <w:rFonts w:eastAsia="Times New Roman" w:ascii="Times New Roman" w:hAnsi="Times New Roman"/>
          <w:sz w:val="28"/>
          <w:szCs w:val="28"/>
          <w:lang w:val="uk-UA" w:eastAsia="uk-UA"/>
        </w:rPr>
        <w:t xml:space="preserve"> (</w:t>
      </w:r>
      <w:r>
        <w:rPr>
          <w:rFonts w:ascii="Times New Roman" w:hAnsi="Times New Roman"/>
          <w:sz w:val="28"/>
          <w:szCs w:val="28"/>
          <w:lang w:val="uk-UA"/>
        </w:rPr>
        <w:t>капітальний ремонт встановлення резервного джерела живлення генератора</w:t>
      </w:r>
      <w:r>
        <w:rPr>
          <w:rFonts w:eastAsia="Times New Roman" w:ascii="Times New Roman" w:hAnsi="Times New Roman"/>
          <w:sz w:val="28"/>
          <w:szCs w:val="28"/>
          <w:lang w:val="uk-UA" w:eastAsia="uk-UA"/>
        </w:rPr>
        <w:t xml:space="preserve">; </w:t>
      </w:r>
      <w:r>
        <w:rPr>
          <w:rFonts w:ascii="Times New Roman" w:hAnsi="Times New Roman"/>
          <w:sz w:val="28"/>
          <w:szCs w:val="28"/>
          <w:lang w:val="uk-UA"/>
        </w:rPr>
        <w:t>виготовлення проектно кошторисної документації на укриття на ПРУ під головним корпусом (Станіслава Прощенка 21)</w:t>
      </w:r>
      <w:r>
        <w:rPr>
          <w:rFonts w:eastAsia="Times New Roman" w:ascii="Times New Roman" w:hAnsi="Times New Roman"/>
          <w:sz w:val="28"/>
          <w:szCs w:val="28"/>
          <w:lang w:val="uk-UA" w:eastAsia="uk-UA"/>
        </w:rPr>
        <w:t xml:space="preserve">, </w:t>
      </w:r>
      <w:r>
        <w:rPr>
          <w:rFonts w:ascii="Times New Roman" w:hAnsi="Times New Roman"/>
          <w:sz w:val="28"/>
          <w:szCs w:val="28"/>
          <w:lang w:val="uk-UA"/>
        </w:rPr>
        <w:t>капітальний ремонт з</w:t>
      </w:r>
      <w:r>
        <w:rPr>
          <w:rFonts w:ascii="Times New Roman" w:hAnsi="Times New Roman"/>
          <w:bCs/>
          <w:sz w:val="28"/>
          <w:szCs w:val="28"/>
          <w:lang w:val="uk-UA"/>
        </w:rPr>
        <w:t>аміни вікон в кардіологічному відділенні</w:t>
      </w:r>
      <w:r>
        <w:rPr>
          <w:rFonts w:eastAsia="Times New Roman" w:ascii="Times New Roman" w:hAnsi="Times New Roman"/>
          <w:sz w:val="28"/>
          <w:szCs w:val="28"/>
          <w:lang w:val="uk-UA" w:eastAsia="uk-UA"/>
        </w:rPr>
        <w:t xml:space="preserve">). </w:t>
      </w:r>
    </w:p>
    <w:p>
      <w:pPr>
        <w:pStyle w:val="ListParagraph"/>
        <w:numPr>
          <w:ilvl w:val="0"/>
          <w:numId w:val="3"/>
        </w:numPr>
        <w:spacing w:lineRule="auto" w:line="240" w:before="0" w:after="0"/>
        <w:contextualSpacing/>
        <w:jc w:val="both"/>
        <w:rPr>
          <w:rFonts w:ascii="Times New Roman" w:hAnsi="Times New Roman"/>
          <w:sz w:val="28"/>
          <w:szCs w:val="28"/>
        </w:rPr>
      </w:pPr>
      <w:r>
        <w:rPr>
          <w:rFonts w:ascii="Times New Roman" w:hAnsi="Times New Roman"/>
          <w:sz w:val="28"/>
          <w:szCs w:val="28"/>
          <w:lang w:val="uk-UA"/>
        </w:rPr>
        <w:t>По завданню №3 «Забезпечення придбання пріоритетного медичного обладнання та виробів медичного призначення на 2026 рік по відділенням»</w:t>
      </w:r>
      <w:r>
        <w:rPr>
          <w:rFonts w:eastAsia="Times New Roman" w:ascii="Times New Roman" w:hAnsi="Times New Roman"/>
          <w:sz w:val="28"/>
          <w:szCs w:val="28"/>
          <w:lang w:val="uk-UA" w:eastAsia="uk-UA"/>
        </w:rPr>
        <w:t xml:space="preserve"> передбачається  зменшення обсягу фінансування з 58 694 700 грн до 31 923 000 грн. </w:t>
      </w:r>
      <w:r>
        <w:rPr>
          <w:rFonts w:ascii="Times New Roman" w:hAnsi="Times New Roman"/>
          <w:sz w:val="28"/>
          <w:szCs w:val="28"/>
          <w:lang w:val="uk-UA" w:eastAsia="uk-UA"/>
        </w:rPr>
        <w:t xml:space="preserve">При цьому фінансові ресурси спрямовуються насамперед на придбання обладнання, необхідного для: </w:t>
      </w:r>
      <w:r>
        <w:rPr>
          <w:rFonts w:eastAsia="Times New Roman" w:ascii="Times New Roman" w:hAnsi="Times New Roman"/>
          <w:sz w:val="28"/>
          <w:szCs w:val="28"/>
          <w:lang w:val="uk-UA" w:eastAsia="uk-UA"/>
        </w:rPr>
        <w:t>забезпечення виконання пріоритетних пакетів медичних гарантій НСЗУ; функціонування критично важливих структурних підрозділів лікарні; забезпечення надання ургентної, анестезіологічної, лабораторної, хірургічної, пологової та діагностичної допомоги.</w:t>
      </w:r>
    </w:p>
    <w:p>
      <w:pPr>
        <w:pStyle w:val="Normal"/>
        <w:spacing w:lineRule="auto" w:line="240" w:before="0" w:after="0"/>
        <w:ind w:firstLine="567"/>
        <w:contextualSpacing/>
        <w:jc w:val="both"/>
        <w:rPr>
          <w:rFonts w:ascii="Times New Roman" w:hAnsi="Times New Roman"/>
          <w:sz w:val="28"/>
          <w:szCs w:val="28"/>
        </w:rPr>
      </w:pPr>
      <w:r>
        <w:rPr>
          <w:rFonts w:eastAsia="Times New Roman" w:ascii="Times New Roman" w:hAnsi="Times New Roman"/>
          <w:sz w:val="28"/>
          <w:szCs w:val="28"/>
          <w:lang w:val="uk-UA" w:eastAsia="uk-UA"/>
        </w:rPr>
        <w:t>Запропоновані зміни дозволять забезпечити стабільне функціонування лікарні та зосередити фінансові ресурси на першочергових потребах.</w:t>
      </w:r>
    </w:p>
    <w:tbl>
      <w:tblPr>
        <w:tblStyle w:val="a6"/>
        <w:tblpPr w:vertAnchor="text" w:horzAnchor="text" w:leftFromText="180" w:rightFromText="180" w:tblpX="-635" w:tblpY="1"/>
        <w:tblOverlap w:val="never"/>
        <w:tblW w:w="1130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73"/>
        <w:gridCol w:w="2945"/>
        <w:gridCol w:w="1843"/>
        <w:gridCol w:w="1846"/>
      </w:tblGrid>
      <w:tr>
        <w:trPr/>
        <w:tc>
          <w:tcPr>
            <w:tcW w:w="4673" w:type="dxa"/>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Чинна редакція</w:t>
            </w:r>
          </w:p>
        </w:tc>
        <w:tc>
          <w:tcPr>
            <w:tcW w:w="6634" w:type="dxa"/>
            <w:gridSpan w:val="3"/>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Зміни, що пропонуються</w:t>
            </w:r>
          </w:p>
        </w:tc>
      </w:tr>
      <w:tr>
        <w:trPr/>
        <w:tc>
          <w:tcPr>
            <w:tcW w:w="4673" w:type="dxa"/>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center"/>
              <w:rPr>
                <w:rFonts w:ascii="Times New Roman" w:hAnsi="Times New Roman"/>
                <w:b/>
                <w:sz w:val="28"/>
                <w:szCs w:val="28"/>
                <w:lang w:val="uk-UA"/>
              </w:rPr>
            </w:pPr>
            <w:r>
              <w:rPr>
                <w:rFonts w:ascii="Times New Roman" w:hAnsi="Times New Roman"/>
                <w:b/>
                <w:bCs/>
                <w:kern w:val="0"/>
                <w:sz w:val="28"/>
                <w:szCs w:val="28"/>
                <w:lang w:val="uk-UA" w:eastAsia="en-US" w:bidi="ar-SA"/>
              </w:rPr>
              <w:t>128 196 800,00</w:t>
            </w:r>
            <w:r>
              <w:rPr>
                <w:rFonts w:ascii="Times New Roman" w:hAnsi="Times New Roman"/>
                <w:bCs/>
                <w:kern w:val="0"/>
                <w:sz w:val="28"/>
                <w:szCs w:val="28"/>
                <w:lang w:val="uk-UA" w:eastAsia="en-US" w:bidi="ar-SA"/>
              </w:rPr>
              <w:t xml:space="preserve"> </w:t>
            </w:r>
            <w:r>
              <w:rPr>
                <w:rFonts w:ascii="Times New Roman" w:hAnsi="Times New Roman"/>
                <w:b/>
                <w:bCs/>
                <w:kern w:val="0"/>
                <w:sz w:val="28"/>
                <w:szCs w:val="28"/>
                <w:lang w:val="uk-UA" w:eastAsia="en-US" w:bidi="ar-SA"/>
              </w:rPr>
              <w:t>грн</w:t>
            </w:r>
          </w:p>
        </w:tc>
        <w:tc>
          <w:tcPr>
            <w:tcW w:w="6634" w:type="dxa"/>
            <w:gridSpan w:val="3"/>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center"/>
              <w:rPr>
                <w:rFonts w:ascii="Times New Roman" w:hAnsi="Times New Roman"/>
                <w:b/>
                <w:sz w:val="28"/>
                <w:szCs w:val="28"/>
                <w:lang w:val="uk-UA"/>
              </w:rPr>
            </w:pPr>
            <w:r>
              <w:rPr>
                <w:rFonts w:ascii="Times New Roman" w:hAnsi="Times New Roman"/>
                <w:kern w:val="0"/>
                <w:sz w:val="28"/>
                <w:szCs w:val="28"/>
                <w:lang w:val="uk-UA" w:eastAsia="en-US" w:bidi="ar-SA"/>
              </w:rPr>
              <w:t>105 773 400</w:t>
            </w:r>
            <w:r>
              <w:rPr>
                <w:rFonts w:ascii="Times New Roman" w:hAnsi="Times New Roman"/>
                <w:bCs/>
                <w:kern w:val="0"/>
                <w:sz w:val="28"/>
                <w:szCs w:val="28"/>
                <w:lang w:val="uk-UA" w:eastAsia="en-US" w:bidi="ar-SA"/>
              </w:rPr>
              <w:t xml:space="preserve">,00 </w:t>
            </w:r>
            <w:r>
              <w:rPr>
                <w:rFonts w:ascii="Times New Roman" w:hAnsi="Times New Roman"/>
                <w:b/>
                <w:kern w:val="0"/>
                <w:sz w:val="28"/>
                <w:szCs w:val="28"/>
                <w:lang w:val="uk-UA" w:eastAsia="en-US" w:bidi="ar-SA"/>
              </w:rPr>
              <w:t xml:space="preserve"> грн</w:t>
            </w:r>
          </w:p>
        </w:tc>
      </w:tr>
      <w:tr>
        <w:trPr/>
        <w:tc>
          <w:tcPr>
            <w:tcW w:w="4673" w:type="dxa"/>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Кошти  бюджету Ніжинської МТГ</w:t>
            </w:r>
          </w:p>
          <w:p>
            <w:pPr>
              <w:pStyle w:val="Normal"/>
              <w:widowControl/>
              <w:spacing w:lineRule="auto" w:line="240" w:before="0" w:after="0"/>
              <w:jc w:val="center"/>
              <w:rPr>
                <w:rFonts w:ascii="Times New Roman" w:hAnsi="Times New Roman"/>
                <w:sz w:val="28"/>
                <w:szCs w:val="28"/>
                <w:lang w:val="uk-UA"/>
              </w:rPr>
            </w:pPr>
            <w:r>
              <w:rPr>
                <w:rFonts w:ascii="Times New Roman" w:hAnsi="Times New Roman"/>
                <w:b/>
                <w:bCs/>
                <w:kern w:val="0"/>
                <w:sz w:val="28"/>
                <w:szCs w:val="28"/>
                <w:lang w:val="uk-UA" w:eastAsia="en-US" w:bidi="ar-SA"/>
              </w:rPr>
              <w:t>127 727 900,00 грн</w:t>
            </w:r>
          </w:p>
        </w:tc>
        <w:tc>
          <w:tcPr>
            <w:tcW w:w="6634" w:type="dxa"/>
            <w:gridSpan w:val="3"/>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Кошти  бюджету Ніжинської МТГ</w:t>
            </w:r>
          </w:p>
          <w:p>
            <w:pPr>
              <w:pStyle w:val="Normal"/>
              <w:widowControl/>
              <w:spacing w:lineRule="auto" w:line="240" w:before="0" w:after="0"/>
              <w:jc w:val="center"/>
              <w:rPr>
                <w:rFonts w:ascii="Times New Roman" w:hAnsi="Times New Roman" w:eastAsia="Times New Roman"/>
                <w:b/>
                <w:bCs/>
                <w:sz w:val="28"/>
                <w:szCs w:val="28"/>
                <w:lang w:val="uk-UA"/>
              </w:rPr>
            </w:pPr>
            <w:r>
              <w:rPr>
                <w:rFonts w:ascii="Times New Roman" w:hAnsi="Times New Roman"/>
                <w:kern w:val="0"/>
                <w:sz w:val="28"/>
                <w:szCs w:val="28"/>
                <w:lang w:val="uk-UA" w:eastAsia="en-US" w:bidi="ar-SA"/>
              </w:rPr>
              <w:t>105 304 500,00 грн</w:t>
            </w:r>
          </w:p>
        </w:tc>
      </w:tr>
      <w:tr>
        <w:trPr/>
        <w:tc>
          <w:tcPr>
            <w:tcW w:w="11307" w:type="dxa"/>
            <w:gridSpan w:val="4"/>
            <w:tcBorders/>
          </w:tcPr>
          <w:p>
            <w:pPr>
              <w:pStyle w:val="Normal"/>
              <w:widowControl/>
              <w:spacing w:lineRule="auto" w:line="240" w:before="0" w:after="0"/>
              <w:jc w:val="left"/>
              <w:rPr>
                <w:rFonts w:ascii="Times New Roman" w:hAnsi="Times New Roman"/>
                <w:b/>
                <w:sz w:val="28"/>
                <w:szCs w:val="28"/>
                <w:lang w:val="uk-UA"/>
              </w:rPr>
            </w:pPr>
            <w:r>
              <w:rPr>
                <w:rFonts w:ascii="Times New Roman" w:hAnsi="Times New Roman"/>
                <w:b/>
                <w:kern w:val="0"/>
                <w:sz w:val="28"/>
                <w:szCs w:val="28"/>
                <w:lang w:val="uk-UA" w:eastAsia="en-US" w:bidi="ar-SA"/>
              </w:rPr>
              <w:t xml:space="preserve">Завдання №1 Забезпечення надання вторинної медичної допомоги, в тому числі </w:t>
            </w:r>
            <w:r>
              <w:rPr>
                <w:rStyle w:val="Emphasis"/>
                <w:rFonts w:ascii="Times New Roman" w:hAnsi="Times New Roman"/>
                <w:b/>
                <w:i w:val="false"/>
                <w:iCs w:val="false"/>
                <w:kern w:val="0"/>
                <w:sz w:val="28"/>
                <w:szCs w:val="28"/>
                <w:shd w:fill="FFFFFF" w:val="clear"/>
                <w:lang w:val="uk-UA" w:eastAsia="en-US" w:bidi="ar-SA"/>
              </w:rPr>
              <w:t>лікарсько-акушерська допомога вагітним, породіллям та новонародженим</w:t>
            </w:r>
          </w:p>
        </w:tc>
      </w:tr>
      <w:tr>
        <w:trPr/>
        <w:tc>
          <w:tcPr>
            <w:tcW w:w="4673" w:type="dxa"/>
            <w:tcBorders/>
          </w:tcPr>
          <w:p>
            <w:pPr>
              <w:pStyle w:val="Normal"/>
              <w:widowControl/>
              <w:spacing w:lineRule="auto" w:line="240" w:before="0" w:after="0"/>
              <w:jc w:val="left"/>
              <w:rPr>
                <w:rFonts w:ascii="Times New Roman" w:hAnsi="Times New Roman"/>
                <w:sz w:val="28"/>
                <w:szCs w:val="28"/>
                <w:lang w:val="uk-UA"/>
              </w:rPr>
            </w:pPr>
            <w:r>
              <w:rPr>
                <w:rFonts w:ascii="Times New Roman" w:hAnsi="Times New Roman"/>
                <w:kern w:val="0"/>
                <w:sz w:val="28"/>
                <w:szCs w:val="28"/>
                <w:lang w:val="uk-UA" w:eastAsia="en-US" w:bidi="ar-SA"/>
              </w:rPr>
              <w:t>Разом по загальному фонду</w:t>
            </w:r>
          </w:p>
          <w:p>
            <w:pPr>
              <w:pStyle w:val="Normal"/>
              <w:widowControl/>
              <w:spacing w:lineRule="auto" w:line="240" w:before="0" w:after="0"/>
              <w:jc w:val="left"/>
              <w:rPr>
                <w:rFonts w:ascii="Times New Roman" w:hAnsi="Times New Roman"/>
                <w:sz w:val="28"/>
                <w:szCs w:val="28"/>
                <w:lang w:val="uk-UA"/>
              </w:rPr>
            </w:pPr>
            <w:r>
              <w:rPr>
                <w:rFonts w:ascii="Times New Roman" w:hAnsi="Times New Roman"/>
                <w:b/>
                <w:bCs/>
                <w:kern w:val="0"/>
                <w:sz w:val="28"/>
                <w:szCs w:val="28"/>
                <w:lang w:val="uk-UA" w:eastAsia="ru-RU" w:bidi="ar-SA"/>
              </w:rPr>
              <w:t>49 700 600,00</w:t>
            </w:r>
            <w:r>
              <w:rPr>
                <w:rFonts w:ascii="Times New Roman" w:hAnsi="Times New Roman"/>
                <w:kern w:val="0"/>
                <w:sz w:val="28"/>
                <w:szCs w:val="28"/>
                <w:lang w:val="uk-UA" w:eastAsia="ru-RU" w:bidi="ar-SA"/>
              </w:rPr>
              <w:t xml:space="preserve"> </w:t>
            </w:r>
            <w:r>
              <w:rPr>
                <w:rFonts w:ascii="Times New Roman" w:hAnsi="Times New Roman"/>
                <w:kern w:val="0"/>
                <w:sz w:val="28"/>
                <w:szCs w:val="28"/>
                <w:lang w:val="uk-UA" w:eastAsia="en-US" w:bidi="ar-SA"/>
              </w:rPr>
              <w:t>грн</w:t>
            </w:r>
          </w:p>
        </w:tc>
        <w:tc>
          <w:tcPr>
            <w:tcW w:w="6634" w:type="dxa"/>
            <w:gridSpan w:val="3"/>
            <w:tcBorders/>
          </w:tcPr>
          <w:p>
            <w:pPr>
              <w:pStyle w:val="Normal"/>
              <w:widowControl/>
              <w:spacing w:lineRule="auto" w:line="240" w:before="0" w:after="0"/>
              <w:jc w:val="left"/>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загальному фонду  </w:t>
            </w:r>
            <w:r>
              <w:rPr>
                <w:rFonts w:ascii="Times New Roman" w:hAnsi="Times New Roman"/>
                <w:b/>
                <w:bCs/>
                <w:kern w:val="0"/>
                <w:sz w:val="28"/>
                <w:szCs w:val="28"/>
                <w:lang w:val="uk-UA" w:eastAsia="ru-RU" w:bidi="ar-SA"/>
              </w:rPr>
              <w:t>54 048 900,00</w:t>
            </w:r>
            <w:r>
              <w:rPr>
                <w:rFonts w:ascii="Times New Roman" w:hAnsi="Times New Roman"/>
                <w:kern w:val="0"/>
                <w:sz w:val="28"/>
                <w:szCs w:val="28"/>
                <w:lang w:val="uk-UA" w:eastAsia="ru-RU" w:bidi="ar-SA"/>
              </w:rPr>
              <w:t xml:space="preserve"> </w:t>
            </w:r>
            <w:r>
              <w:rPr>
                <w:rFonts w:ascii="Times New Roman" w:hAnsi="Times New Roman"/>
                <w:kern w:val="0"/>
                <w:sz w:val="28"/>
                <w:szCs w:val="28"/>
                <w:lang w:val="uk-UA" w:eastAsia="en-US" w:bidi="ar-SA"/>
              </w:rPr>
              <w:t>грн</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Медикаменти та перев'язувальні матеріали 4 573 800,00</w:t>
            </w:r>
          </w:p>
        </w:tc>
        <w:tc>
          <w:tcPr>
            <w:tcW w:w="6634" w:type="dxa"/>
            <w:gridSpan w:val="3"/>
            <w:tcBorders/>
          </w:tcPr>
          <w:p>
            <w:pPr>
              <w:pStyle w:val="Normal"/>
              <w:widowControl/>
              <w:tabs>
                <w:tab w:val="clear" w:pos="708"/>
                <w:tab w:val="left" w:pos="0" w:leader="none"/>
              </w:tabs>
              <w:spacing w:lineRule="auto" w:line="240" w:before="0" w:after="0"/>
              <w:contextualSpacing/>
              <w:jc w:val="left"/>
              <w:rPr>
                <w:rFonts w:ascii="Times New Roman" w:hAnsi="Times New Roman"/>
                <w:iCs/>
                <w:sz w:val="28"/>
                <w:szCs w:val="28"/>
                <w:lang w:val="uk-UA" w:eastAsia="ru-RU"/>
              </w:rPr>
            </w:pPr>
            <w:r>
              <w:rPr>
                <w:rFonts w:ascii="Times New Roman" w:hAnsi="Times New Roman"/>
                <w:kern w:val="0"/>
                <w:sz w:val="28"/>
                <w:szCs w:val="28"/>
                <w:lang w:val="uk-UA" w:eastAsia="en-US" w:bidi="ar-SA"/>
              </w:rPr>
              <w:t>Медикаменти та перев'язувальні матеріали 9 573 800,00</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Оплата послуг крім комунальних</w:t>
            </w:r>
          </w:p>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1 050 000,00</w:t>
            </w:r>
          </w:p>
        </w:tc>
        <w:tc>
          <w:tcPr>
            <w:tcW w:w="6634" w:type="dxa"/>
            <w:gridSpan w:val="3"/>
            <w:tcBorders/>
          </w:tcPr>
          <w:p>
            <w:pPr>
              <w:pStyle w:val="Normal"/>
              <w:widowControl/>
              <w:tabs>
                <w:tab w:val="clear" w:pos="708"/>
                <w:tab w:val="left" w:pos="0"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Оплата послуг крім комунальних 250 000,00</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Пільгові пенсії 388 600,00</w:t>
            </w:r>
          </w:p>
        </w:tc>
        <w:tc>
          <w:tcPr>
            <w:tcW w:w="6634" w:type="dxa"/>
            <w:gridSpan w:val="3"/>
            <w:tcBorders/>
          </w:tcPr>
          <w:p>
            <w:pPr>
              <w:pStyle w:val="Normal"/>
              <w:widowControl/>
              <w:spacing w:lineRule="auto" w:line="240" w:before="0" w:after="0"/>
              <w:ind w:hanging="0" w:right="-5"/>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Пільгові пенсії 500 000,00</w:t>
            </w:r>
          </w:p>
        </w:tc>
      </w:tr>
      <w:tr>
        <w:trPr/>
        <w:tc>
          <w:tcPr>
            <w:tcW w:w="4673" w:type="dxa"/>
            <w:tcBorders/>
          </w:tcPr>
          <w:p>
            <w:pPr>
              <w:pStyle w:val="Normal"/>
              <w:widowControl/>
              <w:tabs>
                <w:tab w:val="clear" w:pos="708"/>
                <w:tab w:val="left" w:pos="3497" w:leader="none"/>
              </w:tabs>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Інші видатки 313 100,00</w:t>
            </w:r>
          </w:p>
        </w:tc>
        <w:tc>
          <w:tcPr>
            <w:tcW w:w="6634" w:type="dxa"/>
            <w:gridSpan w:val="3"/>
            <w:tcBorders/>
          </w:tcPr>
          <w:p>
            <w:pPr>
              <w:pStyle w:val="Normal"/>
              <w:widowControl/>
              <w:spacing w:lineRule="auto" w:line="240" w:before="0" w:after="0"/>
              <w:ind w:hanging="0" w:right="-5"/>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Інші видатки 350 000,00</w:t>
            </w:r>
          </w:p>
        </w:tc>
      </w:tr>
      <w:tr>
        <w:trPr>
          <w:trHeight w:val="315" w:hRule="atLeast"/>
        </w:trPr>
        <w:tc>
          <w:tcPr>
            <w:tcW w:w="4673" w:type="dxa"/>
            <w:tcBorders/>
          </w:tcPr>
          <w:p>
            <w:pPr>
              <w:pStyle w:val="Normal"/>
              <w:widowControl/>
              <w:spacing w:lineRule="auto" w:line="240" w:before="0" w:after="0"/>
              <w:contextualSpacing/>
              <w:jc w:val="both"/>
              <w:rPr>
                <w:rFonts w:ascii="Times New Roman" w:hAnsi="Times New Roman"/>
                <w:b/>
                <w:sz w:val="28"/>
                <w:szCs w:val="28"/>
                <w:lang w:val="uk-UA"/>
              </w:rPr>
            </w:pPr>
            <w:r>
              <w:rPr>
                <w:rFonts w:ascii="Times New Roman" w:hAnsi="Times New Roman"/>
                <w:kern w:val="0"/>
                <w:sz w:val="28"/>
                <w:szCs w:val="28"/>
                <w:lang w:val="uk-UA" w:eastAsia="en-US" w:bidi="ar-SA"/>
              </w:rPr>
              <w:t>Передані кошти та кошти бюджету розвитку</w:t>
            </w:r>
            <w:r>
              <w:rPr>
                <w:rFonts w:ascii="Times New Roman" w:hAnsi="Times New Roman"/>
                <w:b/>
                <w:kern w:val="0"/>
                <w:sz w:val="28"/>
                <w:szCs w:val="28"/>
                <w:lang w:val="uk-UA" w:eastAsia="en-US" w:bidi="ar-SA"/>
              </w:rPr>
              <w:t xml:space="preserve"> 18 850 000,00</w:t>
            </w:r>
            <w:r>
              <w:rPr>
                <w:rFonts w:ascii="Times New Roman" w:hAnsi="Times New Roman"/>
                <w:kern w:val="0"/>
                <w:sz w:val="28"/>
                <w:szCs w:val="28"/>
                <w:lang w:val="uk-UA" w:eastAsia="en-US" w:bidi="ar-SA"/>
              </w:rPr>
              <w:t xml:space="preserve"> грн</w:t>
            </w:r>
          </w:p>
        </w:tc>
        <w:tc>
          <w:tcPr>
            <w:tcW w:w="6634" w:type="dxa"/>
            <w:gridSpan w:val="3"/>
            <w:tcBorders/>
          </w:tcPr>
          <w:p>
            <w:pPr>
              <w:pStyle w:val="Normal"/>
              <w:widowControl/>
              <w:spacing w:lineRule="auto" w:line="240" w:before="0" w:after="0"/>
              <w:contextualSpacing/>
              <w:jc w:val="both"/>
              <w:rPr>
                <w:rFonts w:ascii="Times New Roman" w:hAnsi="Times New Roman"/>
                <w:b/>
                <w:sz w:val="28"/>
                <w:szCs w:val="28"/>
                <w:lang w:val="uk-UA"/>
              </w:rPr>
            </w:pPr>
            <w:r>
              <w:rPr>
                <w:rFonts w:ascii="Times New Roman" w:hAnsi="Times New Roman"/>
                <w:kern w:val="0"/>
                <w:sz w:val="28"/>
                <w:szCs w:val="28"/>
                <w:lang w:val="uk-UA" w:eastAsia="en-US" w:bidi="ar-SA"/>
              </w:rPr>
              <w:t>Передані кошти та кошти бюджету розвитку</w:t>
            </w:r>
          </w:p>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b/>
                <w:kern w:val="0"/>
                <w:sz w:val="28"/>
                <w:szCs w:val="28"/>
                <w:lang w:val="uk-UA" w:eastAsia="en-US" w:bidi="ar-SA"/>
              </w:rPr>
              <w:t>18 850 000,00</w:t>
            </w:r>
            <w:r>
              <w:rPr>
                <w:rFonts w:ascii="Times New Roman" w:hAnsi="Times New Roman"/>
                <w:kern w:val="0"/>
                <w:sz w:val="28"/>
                <w:szCs w:val="28"/>
                <w:lang w:val="uk-UA" w:eastAsia="en-US" w:bidi="ar-SA"/>
              </w:rPr>
              <w:t xml:space="preserve"> грн</w:t>
            </w:r>
          </w:p>
        </w:tc>
      </w:tr>
      <w:tr>
        <w:trPr>
          <w:trHeight w:val="315" w:hRule="atLeast"/>
        </w:trPr>
        <w:tc>
          <w:tcPr>
            <w:tcW w:w="4673" w:type="dxa"/>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Ремонт будівлі допоміжного корпусу по вул. Академіка Амосова, 1</w:t>
            </w:r>
          </w:p>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8 000 000,00</w:t>
            </w:r>
          </w:p>
        </w:tc>
        <w:tc>
          <w:tcPr>
            <w:tcW w:w="6634" w:type="dxa"/>
            <w:gridSpan w:val="3"/>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Ремонт будівлі допоміжного корпусу по вул. Академіка Амосова, 1- 7 500 000,00</w:t>
            </w:r>
          </w:p>
        </w:tc>
      </w:tr>
      <w:tr>
        <w:trPr>
          <w:trHeight w:val="315" w:hRule="atLeast"/>
        </w:trPr>
        <w:tc>
          <w:tcPr>
            <w:tcW w:w="4673" w:type="dxa"/>
            <w:vMerge w:val="restart"/>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 допоміжного корпусу (колишнє відділення реабілітації) по вул. Амосова академіка, 1</w:t>
            </w:r>
          </w:p>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 xml:space="preserve"> </w:t>
            </w:r>
            <w:r>
              <w:rPr>
                <w:rFonts w:ascii="Times New Roman" w:hAnsi="Times New Roman"/>
                <w:kern w:val="0"/>
                <w:sz w:val="28"/>
                <w:szCs w:val="28"/>
                <w:lang w:val="uk-UA" w:eastAsia="en-US" w:bidi="ar-SA"/>
              </w:rPr>
              <w:t>3 700 000,00 грн.</w:t>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 з</w:t>
            </w:r>
            <w:r>
              <w:rPr>
                <w:rFonts w:ascii="Times New Roman" w:hAnsi="Times New Roman"/>
                <w:bCs/>
                <w:kern w:val="0"/>
                <w:sz w:val="28"/>
                <w:szCs w:val="28"/>
                <w:lang w:val="uk-UA" w:eastAsia="en-US" w:bidi="ar-SA"/>
              </w:rPr>
              <w:t>аміни вікон в кардіологічному відділенні</w:t>
            </w:r>
            <w:r>
              <w:rPr>
                <w:rFonts w:ascii="Times New Roman" w:hAnsi="Times New Roman"/>
                <w:kern w:val="0"/>
                <w:sz w:val="28"/>
                <w:szCs w:val="28"/>
                <w:shd w:fill="FFFFFF" w:val="clear"/>
                <w:lang w:val="uk-UA" w:eastAsia="en-US" w:bidi="ar-SA"/>
              </w:rPr>
              <w:t xml:space="preserve"> КНП "Ніжинська центральна міська лікарня імені Миколи Галицького" за адресою: Чернігівська обл., м.  Ніжин вул. Прощенка Станіслава, 21-800 000,00</w:t>
            </w:r>
          </w:p>
        </w:tc>
      </w:tr>
      <w:tr>
        <w:trPr>
          <w:trHeight w:val="315" w:hRule="atLeast"/>
        </w:trPr>
        <w:tc>
          <w:tcPr>
            <w:tcW w:w="4673" w:type="dxa"/>
            <w:vMerge w:val="continue"/>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 xml:space="preserve">Капітальний ремонт встановлення резервного джерела живлення генератора </w:t>
            </w:r>
            <w:r>
              <w:rPr>
                <w:rFonts w:ascii="Times New Roman" w:hAnsi="Times New Roman"/>
                <w:kern w:val="0"/>
                <w:sz w:val="28"/>
                <w:szCs w:val="28"/>
                <w:shd w:fill="FFFFFF" w:val="clear"/>
                <w:lang w:val="uk-UA" w:eastAsia="en-US" w:bidi="ar-SA"/>
              </w:rPr>
              <w:t>КНП "Ніжинська центральна міська лікарня імені Миколи Галицького" за адресою: Чернігівська обл., м.  Ніжин вул. Прощенка Станіслава, 21-900 000,00</w:t>
            </w:r>
          </w:p>
        </w:tc>
      </w:tr>
      <w:tr>
        <w:trPr>
          <w:trHeight w:val="315" w:hRule="atLeast"/>
        </w:trPr>
        <w:tc>
          <w:tcPr>
            <w:tcW w:w="4673" w:type="dxa"/>
            <w:vMerge w:val="continue"/>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Виготовлення проектно кошторисної документації на укриття на ПРУ під головним корпусом (Станіслава Прощенка 21) 500 000,00</w:t>
            </w:r>
          </w:p>
        </w:tc>
      </w:tr>
      <w:tr>
        <w:trPr>
          <w:trHeight w:val="315" w:hRule="atLeast"/>
        </w:trPr>
        <w:tc>
          <w:tcPr>
            <w:tcW w:w="4673" w:type="dxa"/>
            <w:vMerge w:val="continue"/>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6634" w:type="dxa"/>
            <w:gridSpan w:val="3"/>
            <w:tcBorders/>
          </w:tcPr>
          <w:p>
            <w:pPr>
              <w:pStyle w:val="Normal"/>
              <w:widowControl/>
              <w:spacing w:lineRule="auto" w:line="240" w:before="0" w:after="0"/>
              <w:ind w:hanging="0" w:right="-6"/>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 частини будівлі головного корпусу по вул..Академіка Амосова 1, під відділення реабілітації  2 000 000,00</w:t>
            </w:r>
          </w:p>
        </w:tc>
      </w:tr>
      <w:tr>
        <w:trPr>
          <w:trHeight w:val="315" w:hRule="atLeast"/>
        </w:trPr>
        <w:tc>
          <w:tcPr>
            <w:tcW w:w="11307" w:type="dxa"/>
            <w:gridSpan w:val="4"/>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Завдання №3</w:t>
            </w:r>
            <w:r>
              <w:rPr>
                <w:rFonts w:ascii="Times New Roman" w:hAnsi="Times New Roman"/>
                <w:bCs/>
                <w:kern w:val="0"/>
                <w:sz w:val="28"/>
                <w:szCs w:val="28"/>
                <w:lang w:val="uk-UA" w:eastAsia="en-US" w:bidi="ar-SA"/>
              </w:rPr>
              <w:t xml:space="preserve"> </w:t>
            </w:r>
            <w:r>
              <w:rPr>
                <w:rFonts w:ascii="Times New Roman" w:hAnsi="Times New Roman"/>
                <w:b/>
                <w:kern w:val="0"/>
                <w:sz w:val="28"/>
                <w:szCs w:val="28"/>
                <w:lang w:val="uk-UA" w:eastAsia="en-US" w:bidi="ar-SA"/>
              </w:rPr>
              <w:t>Забезпечення придбання пріоритетного медичного обладнання та виробів медичного призначення на 2026 рік по відділенням</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ascii="Times New Roman" w:hAnsi="Times New Roman"/>
                <w:b/>
                <w:bCs/>
                <w:iCs/>
                <w:kern w:val="0"/>
                <w:sz w:val="28"/>
                <w:szCs w:val="28"/>
                <w:lang w:val="uk-UA" w:eastAsia="en-US" w:bidi="ar-SA"/>
              </w:rPr>
              <w:t>Найменування</w:t>
            </w:r>
          </w:p>
        </w:tc>
        <w:tc>
          <w:tcPr>
            <w:tcW w:w="1843" w:type="dxa"/>
            <w:vMerge w:val="restart"/>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Чинна редакція</w:t>
            </w:r>
          </w:p>
        </w:tc>
        <w:tc>
          <w:tcPr>
            <w:tcW w:w="1846" w:type="dxa"/>
            <w:vMerge w:val="restart"/>
            <w:tcBorders/>
            <w:vAlign w:val="bottom"/>
          </w:tcPr>
          <w:p>
            <w:pPr>
              <w:pStyle w:val="Normal"/>
              <w:widowControl/>
              <w:spacing w:lineRule="auto" w:line="240" w:before="0" w:after="0"/>
              <w:ind w:hanging="0" w:left="-108" w:right="-108"/>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Зміни, що пропонуються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b/>
                <w:bCs/>
                <w:kern w:val="0"/>
                <w:sz w:val="28"/>
                <w:szCs w:val="28"/>
                <w:lang w:val="uk-UA" w:eastAsia="uk-UA" w:bidi="ar-SA"/>
              </w:rPr>
              <w:t>Відділення екстреної (невідкладної) медичної допомоги</w:t>
            </w:r>
          </w:p>
        </w:tc>
        <w:tc>
          <w:tcPr>
            <w:tcW w:w="1843" w:type="dxa"/>
            <w:vMerge w:val="continue"/>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vMerge w:val="continue"/>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холтерівського моніторування ЕКГ (не гірше - ECGpro Holter, версія S)</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280 000,00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добового моніторування AT (не гірше — ABPpro)</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Монітор холтерівський BS6930-3 (додатковий реестратор)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62 000,00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Ергометр для проведення стрес-тестів з Пристріем реестрацїі ЕКГ (не гірше - АМЕДТЕК ECGpro КардіоПат 12 Блу"-s)</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1 000 000,00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Капіляроскоп</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для УЗД діагностики з набором датчиків</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Стіл операційний електричний</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270 000,00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Портативний медичний аспіратор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Монітор пацієнта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140 000,00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Дозатор лікувальних речовин (шприцеві насоси)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Відділення анестезіології з ліжками для інтенсивної терапії</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Панель медична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Компресор Medical air compressor Mindray</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Шприцевий насос двошприцевий</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130 000,00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420 000,00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Стимулятор периферичних нервів для проведення провідникової анестезії</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65 000,00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Обладнання для зігрівання хворих під час операції</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450 000,00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ШВЛ Mindray SV-300/аналог з негіршими характеристиками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для УЗД діагностики з набором датчиків</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3 000 000,00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Ортопедо-травматологічне  відділення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очищення ран (ультразвуковий кавітатор ран)</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Рентгенологічне відділення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Апарат МРТ</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28 130 200,00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Сенсорний дисплей</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126 000,00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126 000,00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Пересувний (портативний) рентгендіагностичний апарат з цифрофою обробкою зображення</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3 500 000,00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3 500 000,00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Лабораторія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Гематологічний аналізатор 5-dif</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1 000 000,00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Автоматичний коагулометр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Баканалізатор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1 500 000,00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Напівавтоматичний чотирьохканальний коагулометр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150 000,00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150 000,00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Аналізатор швидкості осідання еритроцитів на 8 пробірок</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Денситометр (детектор каламутності)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35 000,00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45 000,00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Хірургічне відділення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Відеогастроскоп</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tc>
        <w:tc>
          <w:tcPr>
            <w:tcW w:w="1846"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1 908 000,00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Цистоуретроскоп в комплекті</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2 000 000,00</w:t>
            </w:r>
          </w:p>
        </w:tc>
        <w:tc>
          <w:tcPr>
            <w:tcW w:w="1846"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2 000 000,00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Інструмент лапароскопічний</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100 000,00</w:t>
            </w:r>
          </w:p>
        </w:tc>
        <w:tc>
          <w:tcPr>
            <w:tcW w:w="1846"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eastAsia="Times New Roman"/>
                <w:b/>
                <w:bCs/>
                <w:sz w:val="28"/>
                <w:szCs w:val="28"/>
                <w:lang w:val="uk-UA" w:eastAsia="uk-UA"/>
              </w:rPr>
            </w:pPr>
            <w:r>
              <w:rPr>
                <w:rFonts w:eastAsia="Times New Roman" w:ascii="Times New Roman" w:hAnsi="Times New Roman"/>
                <w:b/>
                <w:bCs/>
                <w:kern w:val="0"/>
                <w:sz w:val="28"/>
                <w:szCs w:val="28"/>
                <w:lang w:val="uk-UA" w:eastAsia="uk-UA" w:bidi="ar-SA"/>
              </w:rPr>
              <w:t>Гінекологічне відділення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Інсуфлятор</w:t>
            </w:r>
          </w:p>
        </w:tc>
        <w:tc>
          <w:tcPr>
            <w:tcW w:w="1843"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250 000,00</w:t>
            </w:r>
          </w:p>
        </w:tc>
        <w:tc>
          <w:tcPr>
            <w:tcW w:w="1846"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250 000,00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Крісло гінекологічне електричне</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Пологове відділення з післяпологовими палатами та палатами патології вагітності</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Двохшприцевийі нфузійний насос</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41 000,00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Автоматичний аналізатор газів крові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500 000,00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Вітальний монітор пацієнта з неонатальними датчиками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Поліклініка</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Обладнення для доукомплектування гістероскопа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650 000,00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добового моніторування AT (не гірше — ABPpro)</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55 000,00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холтерівського моніторування  ЕКГ (не гіше - ECGpro Holter, версія S)</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280 000,00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Безконтактний тонометр для  вимірювання внутрішньоочного тиску (цифровий, портативний, для ВЛК)</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230 000,00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Офтальмологічна щілинна лампа</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45 500,00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250 000,00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Неодимова система (лазер)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Лікарняний банк крові</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Змішувач тромбоцитів для зберігання тромбоцитарник копонентів крові та інкубатор для зберігання тромбоцитних компонентів крові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160 000,00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Розморожувач плазми крові</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770 000,00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Обладнання для проведення імуногематологічних досліджень крові та плазми за допомогою гелевої технології</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1 697 000,00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Відділ інфекційного контролю</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УФ-радіометр</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75 000,00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iCs/>
                <w:sz w:val="28"/>
                <w:szCs w:val="28"/>
                <w:lang w:val="uk-UA"/>
              </w:rPr>
            </w:pPr>
            <w:r>
              <w:rPr>
                <w:rFonts w:eastAsia="Times New Roman" w:ascii="Times New Roman" w:hAnsi="Times New Roman"/>
                <w:b/>
                <w:bCs/>
                <w:kern w:val="0"/>
                <w:sz w:val="28"/>
                <w:szCs w:val="28"/>
                <w:lang w:val="uk-UA" w:eastAsia="uk-UA" w:bidi="ar-SA"/>
              </w:rPr>
              <w:t>Терапевтичне відділення з ліжками для паліативної допомоги</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Ультразвуковий небулайзер (по типу OMRON NE-U 780 Ultra Air/аналог з негіршими характеристиками)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75 000,00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Пристрій для підняття пацієнта в ліжку</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80 000,00</w:t>
            </w:r>
          </w:p>
        </w:tc>
      </w:tr>
      <w:tr>
        <w:trPr>
          <w:trHeight w:val="315" w:hRule="atLeast"/>
        </w:trPr>
        <w:tc>
          <w:tcPr>
            <w:tcW w:w="11307" w:type="dxa"/>
            <w:gridSpan w:val="4"/>
            <w:tcBorders/>
            <w:vAlign w:val="bottom"/>
          </w:tcPr>
          <w:p>
            <w:pPr>
              <w:pStyle w:val="Normal"/>
              <w:widowControl/>
              <w:spacing w:lineRule="auto" w:line="240" w:before="0" w:after="0"/>
              <w:contextualSpacing/>
              <w:jc w:val="center"/>
              <w:rPr>
                <w:rFonts w:ascii="Times New Roman" w:hAnsi="Times New Roman"/>
                <w:b/>
                <w:bCs/>
                <w:sz w:val="28"/>
                <w:szCs w:val="28"/>
                <w:lang w:val="uk-UA"/>
              </w:rPr>
            </w:pPr>
            <w:r>
              <w:rPr>
                <w:rFonts w:eastAsia="Times New Roman" w:ascii="Times New Roman" w:hAnsi="Times New Roman"/>
                <w:b/>
                <w:bCs/>
                <w:kern w:val="0"/>
                <w:sz w:val="28"/>
                <w:szCs w:val="28"/>
                <w:lang w:val="uk-UA" w:eastAsia="uk-UA" w:bidi="ar-SA"/>
              </w:rPr>
              <w:t>Дитяче відділення</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Система кольорової візуалізації вен</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120 000,00</w:t>
            </w:r>
          </w:p>
        </w:tc>
        <w:tc>
          <w:tcPr>
            <w:tcW w:w="1846" w:type="dxa"/>
            <w:tcBorders/>
            <w:vAlign w:val="bottom"/>
          </w:tcPr>
          <w:p>
            <w:pPr>
              <w:pStyle w:val="Normal"/>
              <w:widowControl/>
              <w:spacing w:lineRule="auto" w:line="240" w:before="0" w:after="0"/>
              <w:contextualSpacing/>
              <w:jc w:val="center"/>
              <w:rPr>
                <w:rFonts w:ascii="Times New Roman" w:hAnsi="Times New Roman" w:eastAsia="Times New Roman"/>
                <w:sz w:val="28"/>
                <w:szCs w:val="28"/>
                <w:lang w:val="uk-UA" w:eastAsia="uk-UA"/>
              </w:rPr>
            </w:pPr>
            <w:r>
              <w:rPr>
                <w:rFonts w:eastAsia="Times New Roman" w:ascii="Times New Roman" w:hAnsi="Times New Roman"/>
                <w:kern w:val="0"/>
                <w:sz w:val="28"/>
                <w:szCs w:val="28"/>
                <w:lang w:val="uk-UA" w:eastAsia="uk-UA" w:bidi="ar-SA"/>
              </w:rPr>
              <w:t>120 000,00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kern w:val="0"/>
                <w:sz w:val="28"/>
                <w:szCs w:val="28"/>
                <w:lang w:val="uk-UA" w:eastAsia="uk-UA" w:bidi="ar-SA"/>
              </w:rPr>
              <w:t>Ультразвуковий небулайзер (по типу OMRON NE-U 780 Ultra Air/аналог з негіршими характеристиками)</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65 000,00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75 000,00</w:t>
            </w:r>
          </w:p>
        </w:tc>
      </w:tr>
      <w:tr>
        <w:trPr>
          <w:trHeight w:val="315" w:hRule="atLeast"/>
        </w:trPr>
        <w:tc>
          <w:tcPr>
            <w:tcW w:w="7618" w:type="dxa"/>
            <w:gridSpan w:val="2"/>
            <w:tcBorders/>
            <w:vAlign w:val="bottom"/>
          </w:tcPr>
          <w:p>
            <w:pPr>
              <w:pStyle w:val="Normal"/>
              <w:widowControl/>
              <w:spacing w:lineRule="auto" w:line="240" w:before="0" w:after="0"/>
              <w:contextualSpacing/>
              <w:jc w:val="left"/>
              <w:rPr>
                <w:rFonts w:ascii="Times New Roman" w:hAnsi="Times New Roman"/>
                <w:b/>
                <w:bCs/>
                <w:iCs/>
                <w:sz w:val="28"/>
                <w:szCs w:val="28"/>
                <w:lang w:val="uk-UA"/>
              </w:rPr>
            </w:pPr>
            <w:r>
              <w:rPr>
                <w:rFonts w:eastAsia="Times New Roman" w:ascii="Times New Roman" w:hAnsi="Times New Roman"/>
                <w:b/>
                <w:bCs/>
                <w:kern w:val="0"/>
                <w:sz w:val="28"/>
                <w:szCs w:val="28"/>
                <w:lang w:val="uk-UA" w:eastAsia="uk-UA" w:bidi="ar-SA"/>
              </w:rPr>
              <w:t>ВСЬОГО</w:t>
            </w:r>
          </w:p>
        </w:tc>
        <w:tc>
          <w:tcPr>
            <w:tcW w:w="1843"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58 694 700,00</w:t>
            </w:r>
          </w:p>
        </w:tc>
        <w:tc>
          <w:tcPr>
            <w:tcW w:w="1846" w:type="dxa"/>
            <w:tcBorders/>
            <w:vAlign w:val="bottom"/>
          </w:tcPr>
          <w:p>
            <w:pPr>
              <w:pStyle w:val="Normal"/>
              <w:widowControl/>
              <w:spacing w:lineRule="auto" w:line="240" w:before="0" w:after="0"/>
              <w:contextualSpacing/>
              <w:jc w:val="center"/>
              <w:rPr>
                <w:rFonts w:ascii="Times New Roman" w:hAnsi="Times New Roman"/>
                <w:sz w:val="28"/>
                <w:szCs w:val="28"/>
                <w:lang w:val="uk-UA"/>
              </w:rPr>
            </w:pPr>
            <w:r>
              <w:rPr>
                <w:rFonts w:eastAsia="Times New Roman" w:ascii="Times New Roman" w:hAnsi="Times New Roman"/>
                <w:kern w:val="0"/>
                <w:sz w:val="28"/>
                <w:szCs w:val="28"/>
                <w:lang w:val="uk-UA" w:eastAsia="uk-UA" w:bidi="ar-SA"/>
              </w:rPr>
              <w:t>31 923 000,00</w:t>
            </w:r>
          </w:p>
        </w:tc>
      </w:tr>
    </w:tbl>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uk-UA"/>
        </w:rPr>
        <w:t>2. Рішення підготовлене з дотриманням вимог ст.26,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uk-UA"/>
        </w:rPr>
        <w:t xml:space="preserve">3. Підстава: </w:t>
      </w:r>
      <w:bookmarkStart w:id="3" w:name="_Hlk225861961"/>
      <w:r>
        <w:rPr>
          <w:rFonts w:ascii="Times New Roman" w:hAnsi="Times New Roman"/>
          <w:sz w:val="28"/>
          <w:szCs w:val="28"/>
          <w:lang w:val="uk-UA"/>
        </w:rPr>
        <w:t>Рiшення сесiї Нiжинської мiської ради № 3-54/2026  від 31.03.2026 року</w:t>
      </w:r>
      <w:bookmarkEnd w:id="3"/>
      <w:r>
        <w:rPr>
          <w:rFonts w:ascii="Times New Roman" w:hAnsi="Times New Roman"/>
          <w:sz w:val="28"/>
          <w:szCs w:val="28"/>
          <w:lang w:val="uk-UA"/>
        </w:rPr>
        <w:t>, листи КНП «Ніжинська центральна міська лікарня імені Миколи Галицького» від 20 квітня 2026 року №01-11/1605.</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lang w:val="uk-UA"/>
        </w:rPr>
        <w:t>4. Відповідальний за підготовку рішення – заступник генерального директора з економічних питань комунального некомерційного підприємства «Ніжинська центральна міська лікарня імені Миколи Галицького» -Тетяна КАМИШНА.</w:t>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b/>
          <w:bCs/>
          <w:sz w:val="28"/>
          <w:szCs w:val="28"/>
        </w:rPr>
      </w:pPr>
      <w:r>
        <w:rPr>
          <w:rFonts w:eastAsia="Calibri" w:ascii="Times New Roman" w:hAnsi="Times New Roman"/>
          <w:b/>
          <w:bCs/>
          <w:sz w:val="28"/>
          <w:szCs w:val="28"/>
          <w:lang w:val="uk-UA" w:eastAsia="en-US"/>
        </w:rPr>
        <w:t xml:space="preserve">В.о. генерального директора              </w:t>
      </w:r>
      <w:r>
        <w:rPr>
          <w:rFonts w:eastAsia="Calibri" w:ascii="Times New Roman" w:hAnsi="Times New Roman"/>
          <w:b/>
          <w:bCs/>
          <w:sz w:val="28"/>
          <w:szCs w:val="28"/>
          <w:lang w:eastAsia="en-US"/>
        </w:rPr>
        <w:t xml:space="preserve">    </w:t>
        <w:tab/>
        <w:tab/>
        <w:tab/>
        <w:tab/>
        <w:t xml:space="preserve">     Олег КАЧЕР</w:t>
      </w:r>
      <w:r>
        <w:rPr>
          <w:rFonts w:ascii="Times New Roman" w:hAnsi="Times New Roman"/>
          <w:b/>
          <w:bCs/>
          <w:sz w:val="28"/>
          <w:szCs w:val="28"/>
        </w:rPr>
        <w:t xml:space="preserve"> </w:t>
      </w:r>
    </w:p>
    <w:p>
      <w:pPr>
        <w:pStyle w:val="Normal"/>
        <w:widowControl w:val="false"/>
        <w:spacing w:lineRule="auto" w:line="240" w:before="0" w:after="0"/>
        <w:jc w:val="center"/>
        <w:rPr>
          <w:rFonts w:ascii="Times New Roman" w:hAnsi="Times New Roman"/>
          <w:b/>
          <w:bCs/>
          <w:sz w:val="28"/>
          <w:szCs w:val="28"/>
          <w:lang w:val="uk-UA"/>
        </w:rPr>
      </w:pPr>
      <w:r>
        <w:rPr>
          <w:rFonts w:ascii="Times New Roman" w:hAnsi="Times New Roman"/>
          <w:b/>
          <w:bCs/>
          <w:sz w:val="28"/>
          <w:szCs w:val="28"/>
          <w:lang w:val="uk-UA"/>
        </w:rPr>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8" w:hanging="360"/>
      </w:pPr>
      <w:rPr>
        <w:rFonts w:ascii="Times New Roman"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3"/>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user2">
    <w:name w:val="Вміст рамки (user)"/>
    <w:basedOn w:val="Normal"/>
    <w:qFormat/>
    <w:pPr/>
    <w:rPr/>
  </w:style>
  <w:style w:type="paragraph" w:styleId="Style18">
    <w:name w:val="Вміст рамки"/>
    <w:basedOn w:val="Normal"/>
    <w:qFormat/>
    <w:pPr/>
    <w:rPr/>
  </w:style>
  <w:style w:type="paragraph" w:styleId="Quote">
    <w:name w:val="Quote"/>
    <w:basedOn w:val="Normal"/>
    <w:next w:val="Normal"/>
    <w:qFormat/>
    <w:pPr/>
    <w:rPr>
      <w:i/>
      <w:iCs/>
      <w:color w:themeColor="text1" w:val="000000"/>
    </w:rPr>
  </w:style>
  <w:style w:type="numbering" w:styleId="user3"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Application>LibreOffice/25.8.6.2$Windows_X86_64 LibreOffice_project/b4b39682cd9868fa725bc664aff94278d315bd04</Application>
  <AppVersion>15.0000</AppVersion>
  <Pages>17</Pages>
  <Words>3979</Words>
  <Characters>26907</Characters>
  <CharactersWithSpaces>30621</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2026-06-12T08:56:06Z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file>